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85" w:rsidRDefault="00A50985">
      <w:pPr>
        <w:rPr>
          <w:b/>
          <w:sz w:val="28"/>
          <w:szCs w:val="28"/>
          <w:shd w:val="clear" w:color="auto" w:fill="B8CCE4" w:themeFill="accent1" w:themeFillTint="66"/>
        </w:rPr>
      </w:pPr>
    </w:p>
    <w:p w:rsidR="00A50985" w:rsidRDefault="00A50985">
      <w:pPr>
        <w:rPr>
          <w:b/>
          <w:sz w:val="28"/>
          <w:szCs w:val="28"/>
          <w:shd w:val="clear" w:color="auto" w:fill="B8CCE4" w:themeFill="accent1" w:themeFillTint="66"/>
        </w:rPr>
      </w:pPr>
    </w:p>
    <w:p w:rsidR="00A50985" w:rsidRDefault="00A50985">
      <w:pPr>
        <w:rPr>
          <w:b/>
          <w:sz w:val="28"/>
          <w:szCs w:val="28"/>
          <w:shd w:val="clear" w:color="auto" w:fill="B8CCE4" w:themeFill="accent1" w:themeFillTint="66"/>
        </w:rPr>
      </w:pPr>
    </w:p>
    <w:p w:rsidR="00A50985" w:rsidRDefault="00A50985">
      <w:pPr>
        <w:rPr>
          <w:b/>
          <w:sz w:val="28"/>
          <w:szCs w:val="28"/>
          <w:shd w:val="clear" w:color="auto" w:fill="B8CCE4" w:themeFill="accent1" w:themeFillTint="66"/>
        </w:rPr>
      </w:pPr>
    </w:p>
    <w:p w:rsidR="00A50985" w:rsidRDefault="00A50985">
      <w:pPr>
        <w:rPr>
          <w:b/>
          <w:sz w:val="28"/>
          <w:szCs w:val="28"/>
          <w:shd w:val="clear" w:color="auto" w:fill="B8CCE4" w:themeFill="accent1" w:themeFillTint="66"/>
        </w:rPr>
      </w:pPr>
    </w:p>
    <w:p w:rsidR="00A50985" w:rsidRDefault="00A50985" w:rsidP="00A50985">
      <w:pPr>
        <w:jc w:val="center"/>
        <w:rPr>
          <w:shd w:val="clear" w:color="auto" w:fill="B8CCE4" w:themeFill="accent1" w:themeFillTint="66"/>
        </w:rPr>
      </w:pPr>
      <w:r>
        <w:rPr>
          <w:b/>
          <w:sz w:val="28"/>
          <w:szCs w:val="28"/>
          <w:shd w:val="clear" w:color="auto" w:fill="B8CCE4" w:themeFill="accent1" w:themeFillTint="66"/>
        </w:rPr>
        <w:t>Relazione illustrativa al Contratto Collettivo Decentrato Integrativo</w:t>
      </w:r>
      <w:r w:rsidR="00D91218">
        <w:rPr>
          <w:b/>
          <w:sz w:val="28"/>
          <w:szCs w:val="28"/>
          <w:shd w:val="clear" w:color="auto" w:fill="B8CCE4" w:themeFill="accent1" w:themeFillTint="66"/>
        </w:rPr>
        <w:t xml:space="preserve"> 2014 </w:t>
      </w:r>
      <w:r>
        <w:rPr>
          <w:sz w:val="32"/>
          <w:shd w:val="clear" w:color="auto" w:fill="B8CCE4" w:themeFill="accent1" w:themeFillTint="66"/>
        </w:rPr>
        <w:br/>
      </w:r>
      <w:r>
        <w:rPr>
          <w:shd w:val="clear" w:color="auto" w:fill="B8CCE4" w:themeFill="accent1" w:themeFillTint="66"/>
        </w:rPr>
        <w:t>(articolo 40, comma 3-sexies, Decreto Legislativo n. 165 del 2001)</w:t>
      </w:r>
    </w:p>
    <w:p w:rsidR="00D91218" w:rsidRDefault="00D91218">
      <w:pPr>
        <w:rPr>
          <w:rFonts w:ascii="Trebuchet MS" w:hAnsi="Trebuchet MS" w:cs="Calibri-BoldItalic"/>
          <w:b/>
          <w:bCs/>
          <w:i/>
          <w:iCs/>
          <w:sz w:val="20"/>
          <w:szCs w:val="20"/>
        </w:rPr>
      </w:pPr>
    </w:p>
    <w:p w:rsidR="00D91218" w:rsidRDefault="00D91218">
      <w:pPr>
        <w:rPr>
          <w:rFonts w:ascii="Trebuchet MS" w:hAnsi="Trebuchet MS" w:cs="Calibri-BoldItalic"/>
          <w:b/>
          <w:bCs/>
          <w:i/>
          <w:iCs/>
          <w:sz w:val="20"/>
          <w:szCs w:val="20"/>
        </w:rPr>
      </w:pPr>
    </w:p>
    <w:p w:rsidR="00D91218" w:rsidRDefault="00D91218">
      <w:pPr>
        <w:rPr>
          <w:rFonts w:ascii="Trebuchet MS" w:hAnsi="Trebuchet MS" w:cs="Calibri-BoldItalic"/>
          <w:b/>
          <w:bCs/>
          <w:i/>
          <w:iCs/>
          <w:sz w:val="20"/>
          <w:szCs w:val="20"/>
        </w:rPr>
      </w:pPr>
    </w:p>
    <w:p w:rsidR="00EB4671" w:rsidRDefault="00EB4671">
      <w:pPr>
        <w:rPr>
          <w:rFonts w:ascii="Trebuchet MS" w:hAnsi="Trebuchet MS" w:cs="Calibri-BoldItalic"/>
          <w:b/>
          <w:bCs/>
          <w:i/>
          <w:iCs/>
          <w:sz w:val="20"/>
          <w:szCs w:val="20"/>
        </w:rPr>
      </w:pPr>
      <w:bookmarkStart w:id="0" w:name="_GoBack"/>
      <w:bookmarkEnd w:id="0"/>
      <w:r>
        <w:rPr>
          <w:rFonts w:ascii="Trebuchet MS" w:hAnsi="Trebuchet MS" w:cs="Calibri-BoldItalic"/>
          <w:b/>
          <w:bCs/>
          <w:i/>
          <w:iCs/>
          <w:sz w:val="20"/>
          <w:szCs w:val="20"/>
        </w:rPr>
        <w:br w:type="page"/>
      </w:r>
    </w:p>
    <w:p w:rsidR="00A50985" w:rsidRDefault="00A50985">
      <w:pPr>
        <w:rPr>
          <w:rFonts w:ascii="Trebuchet MS" w:hAnsi="Trebuchet MS" w:cs="Calibri-BoldItalic"/>
          <w:b/>
          <w:bCs/>
          <w:i/>
          <w:iCs/>
          <w:sz w:val="20"/>
          <w:szCs w:val="20"/>
        </w:rPr>
      </w:pPr>
    </w:p>
    <w:p w:rsidR="00866BDE" w:rsidRDefault="001B1D8A" w:rsidP="001B1D8A">
      <w:pPr>
        <w:autoSpaceDE w:val="0"/>
        <w:autoSpaceDN w:val="0"/>
        <w:adjustRightInd w:val="0"/>
        <w:spacing w:after="0" w:line="240" w:lineRule="auto"/>
        <w:rPr>
          <w:rFonts w:ascii="Trebuchet MS" w:hAnsi="Trebuchet MS" w:cs="Calibri-BoldItalic"/>
          <w:b/>
          <w:bCs/>
          <w:i/>
          <w:iCs/>
          <w:sz w:val="20"/>
          <w:szCs w:val="20"/>
        </w:rPr>
      </w:pPr>
      <w:r w:rsidRPr="006C2EF6">
        <w:rPr>
          <w:rFonts w:ascii="Trebuchet MS" w:hAnsi="Trebuchet MS" w:cs="Calibri-BoldItalic"/>
          <w:b/>
          <w:bCs/>
          <w:i/>
          <w:iCs/>
          <w:sz w:val="20"/>
          <w:szCs w:val="20"/>
        </w:rPr>
        <w:t xml:space="preserve">Modulo 1 </w:t>
      </w:r>
      <w:r w:rsidRPr="006C2EF6">
        <w:rPr>
          <w:rFonts w:ascii="Trebuchet MS" w:hAnsi="Trebuchet MS" w:cs="Cambria Math"/>
          <w:b/>
          <w:bCs/>
          <w:i/>
          <w:iCs/>
          <w:sz w:val="20"/>
          <w:szCs w:val="20"/>
        </w:rPr>
        <w:t>‐</w:t>
      </w:r>
      <w:r w:rsidRPr="006C2EF6">
        <w:rPr>
          <w:rFonts w:ascii="Trebuchet MS" w:hAnsi="Trebuchet MS" w:cs="Calibri-BoldItalic"/>
          <w:b/>
          <w:bCs/>
          <w:i/>
          <w:iCs/>
          <w:sz w:val="20"/>
          <w:szCs w:val="20"/>
        </w:rPr>
        <w:t xml:space="preserve"> Scheda 1.1 Illustrazione degli aspetti procedurali, sintesi del contenuto del contratto ed autodichiarazione relative agli adempimenti della legge.</w:t>
      </w:r>
    </w:p>
    <w:tbl>
      <w:tblPr>
        <w:tblStyle w:val="Grigliatabella"/>
        <w:tblW w:w="0" w:type="auto"/>
        <w:tblLayout w:type="fixed"/>
        <w:tblLook w:val="04A0" w:firstRow="1" w:lastRow="0" w:firstColumn="1" w:lastColumn="0" w:noHBand="0" w:noVBand="1"/>
      </w:tblPr>
      <w:tblGrid>
        <w:gridCol w:w="1101"/>
        <w:gridCol w:w="2176"/>
        <w:gridCol w:w="6577"/>
      </w:tblGrid>
      <w:tr w:rsidR="00866BDE" w:rsidTr="00F25100">
        <w:tc>
          <w:tcPr>
            <w:tcW w:w="3277" w:type="dxa"/>
            <w:gridSpan w:val="2"/>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Data di sottoscrizione</w:t>
            </w:r>
          </w:p>
          <w:p w:rsidR="00866BDE" w:rsidRDefault="00866BDE" w:rsidP="00F25100">
            <w:pPr>
              <w:autoSpaceDE w:val="0"/>
              <w:autoSpaceDN w:val="0"/>
              <w:adjustRightInd w:val="0"/>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11 Dicembre 2013 – Repertorio dei contratti n.29/2013</w:t>
            </w:r>
          </w:p>
        </w:tc>
      </w:tr>
      <w:tr w:rsidR="00866BDE" w:rsidTr="00F25100">
        <w:tc>
          <w:tcPr>
            <w:tcW w:w="3277" w:type="dxa"/>
            <w:gridSpan w:val="2"/>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Periodo temporale di vigenza</w:t>
            </w:r>
          </w:p>
          <w:p w:rsidR="00866BDE" w:rsidRDefault="00866BDE" w:rsidP="00F25100">
            <w:pPr>
              <w:autoSpaceDE w:val="0"/>
              <w:autoSpaceDN w:val="0"/>
              <w:adjustRightInd w:val="0"/>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Dal 01/01/2013 al 31/12/2014.</w:t>
            </w:r>
          </w:p>
        </w:tc>
      </w:tr>
      <w:tr w:rsidR="00866BDE" w:rsidTr="00F25100">
        <w:tc>
          <w:tcPr>
            <w:tcW w:w="3277" w:type="dxa"/>
            <w:gridSpan w:val="2"/>
            <w:vMerge w:val="restart"/>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Composizione</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della delegazione trattante</w:t>
            </w:r>
          </w:p>
          <w:p w:rsidR="00866BDE" w:rsidRDefault="00866BDE" w:rsidP="00F25100">
            <w:pPr>
              <w:autoSpaceDE w:val="0"/>
              <w:autoSpaceDN w:val="0"/>
              <w:adjustRightInd w:val="0"/>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
                <w:sz w:val="20"/>
                <w:szCs w:val="20"/>
              </w:rPr>
              <w:t xml:space="preserve">Parte Pubblica (ruoli/qualifiche ricoperti): Ing. Maurizio Meloni – Direttore Generale </w:t>
            </w:r>
          </w:p>
        </w:tc>
      </w:tr>
      <w:tr w:rsidR="00866BDE" w:rsidTr="00F25100">
        <w:tc>
          <w:tcPr>
            <w:tcW w:w="5453" w:type="dxa"/>
            <w:gridSpan w:val="2"/>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
                <w:sz w:val="20"/>
                <w:szCs w:val="20"/>
              </w:rPr>
            </w:pPr>
            <w:r>
              <w:rPr>
                <w:rFonts w:ascii="Trebuchet MS" w:hAnsi="Trebuchet MS" w:cs="Calibri"/>
                <w:sz w:val="20"/>
                <w:szCs w:val="20"/>
              </w:rPr>
              <w:t>Organizzazioni sindacali ammesse alla contrattazione (elenco sigle):</w:t>
            </w:r>
          </w:p>
          <w:p w:rsidR="00866BDE" w:rsidRDefault="00866BDE" w:rsidP="00F25100">
            <w:pPr>
              <w:autoSpaceDE w:val="0"/>
              <w:autoSpaceDN w:val="0"/>
              <w:adjustRightInd w:val="0"/>
              <w:rPr>
                <w:rFonts w:ascii="Trebuchet MS" w:hAnsi="Trebuchet MS" w:cs="Calibri"/>
                <w:sz w:val="20"/>
                <w:szCs w:val="20"/>
              </w:rPr>
            </w:pPr>
            <w:r>
              <w:rPr>
                <w:rFonts w:ascii="Trebuchet MS" w:hAnsi="Trebuchet MS" w:cs="Calibri"/>
                <w:sz w:val="20"/>
                <w:szCs w:val="20"/>
              </w:rPr>
              <w:t>Cgil FP; Cisl; Uil;</w:t>
            </w:r>
          </w:p>
        </w:tc>
      </w:tr>
      <w:tr w:rsidR="00866BDE" w:rsidTr="00F25100">
        <w:tc>
          <w:tcPr>
            <w:tcW w:w="5453" w:type="dxa"/>
            <w:gridSpan w:val="2"/>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
                <w:sz w:val="20"/>
                <w:szCs w:val="20"/>
              </w:rPr>
              <w:t>Organizzazioni sindacali firmatarie (elenco sigle): Cgil FP</w:t>
            </w:r>
          </w:p>
        </w:tc>
      </w:tr>
      <w:tr w:rsidR="00866BDE" w:rsidTr="00F25100">
        <w:tc>
          <w:tcPr>
            <w:tcW w:w="3277" w:type="dxa"/>
            <w:gridSpan w:val="2"/>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Soggetti destinatari</w:t>
            </w:r>
          </w:p>
          <w:p w:rsidR="00866BDE" w:rsidRDefault="00866BDE" w:rsidP="00F25100">
            <w:pPr>
              <w:autoSpaceDE w:val="0"/>
              <w:autoSpaceDN w:val="0"/>
              <w:adjustRightInd w:val="0"/>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 xml:space="preserve">Dipendenti dell’Ente a  tempo Indeterminato nel 2014 ( n.11) </w:t>
            </w:r>
          </w:p>
        </w:tc>
      </w:tr>
      <w:tr w:rsidR="00866BDE" w:rsidTr="00F25100">
        <w:tc>
          <w:tcPr>
            <w:tcW w:w="3277" w:type="dxa"/>
            <w:gridSpan w:val="2"/>
            <w:vMerge w:val="restart"/>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Materie trattate dal contratto</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integrativo (descrizione sintetica)</w:t>
            </w:r>
          </w:p>
          <w:p w:rsidR="00866BDE" w:rsidRDefault="00866BDE" w:rsidP="00F25100">
            <w:pPr>
              <w:autoSpaceDE w:val="0"/>
              <w:autoSpaceDN w:val="0"/>
              <w:adjustRightInd w:val="0"/>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
                <w:sz w:val="20"/>
                <w:szCs w:val="20"/>
              </w:rPr>
              <w:t>a)relazioni Sindacali;</w:t>
            </w:r>
          </w:p>
        </w:tc>
      </w:tr>
      <w:tr w:rsidR="00866BDE" w:rsidTr="00F25100">
        <w:tc>
          <w:tcPr>
            <w:tcW w:w="5453" w:type="dxa"/>
            <w:gridSpan w:val="2"/>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b) Utilizzazione delle risorse, compensi per incentivare la produttività , criteri di ripartizione ed obiettivi.</w:t>
            </w:r>
          </w:p>
        </w:tc>
      </w:tr>
      <w:tr w:rsidR="00866BDE" w:rsidTr="00F25100">
        <w:tc>
          <w:tcPr>
            <w:tcW w:w="5453" w:type="dxa"/>
            <w:gridSpan w:val="2"/>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c)Valutazione</w:t>
            </w:r>
          </w:p>
        </w:tc>
      </w:tr>
      <w:tr w:rsidR="00866BDE" w:rsidTr="00F25100">
        <w:tc>
          <w:tcPr>
            <w:tcW w:w="5453" w:type="dxa"/>
            <w:gridSpan w:val="2"/>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 xml:space="preserve">d)Miglioramento dei Servizi </w:t>
            </w:r>
          </w:p>
        </w:tc>
      </w:tr>
      <w:tr w:rsidR="00866BDE" w:rsidTr="00F25100">
        <w:tc>
          <w:tcPr>
            <w:tcW w:w="5453" w:type="dxa"/>
            <w:gridSpan w:val="2"/>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 xml:space="preserve">e)Compensi per particolari responsabilità </w:t>
            </w:r>
          </w:p>
        </w:tc>
      </w:tr>
      <w:tr w:rsidR="00866BDE" w:rsidTr="00F25100">
        <w:tc>
          <w:tcPr>
            <w:tcW w:w="5453" w:type="dxa"/>
            <w:gridSpan w:val="2"/>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f)Orario di servizio, buoni pasto e altre Indennità.</w:t>
            </w:r>
          </w:p>
        </w:tc>
      </w:tr>
      <w:tr w:rsidR="00866BDE" w:rsidTr="00F25100">
        <w:tc>
          <w:tcPr>
            <w:tcW w:w="5453" w:type="dxa"/>
            <w:gridSpan w:val="2"/>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g)Utilizzo Somme del fondo</w:t>
            </w:r>
          </w:p>
        </w:tc>
      </w:tr>
      <w:tr w:rsidR="00866BDE" w:rsidTr="00F25100">
        <w:tc>
          <w:tcPr>
            <w:tcW w:w="1101" w:type="dxa"/>
            <w:vMerge w:val="restart"/>
            <w:tcBorders>
              <w:top w:val="single" w:sz="4" w:space="0" w:color="auto"/>
              <w:left w:val="single" w:sz="4" w:space="0" w:color="auto"/>
              <w:bottom w:val="single" w:sz="4" w:space="0" w:color="auto"/>
              <w:right w:val="single" w:sz="4" w:space="0" w:color="auto"/>
            </w:tcBorders>
            <w:textDirection w:val="btLr"/>
          </w:tcPr>
          <w:p w:rsidR="00866BDE" w:rsidRDefault="00866BDE" w:rsidP="00F25100">
            <w:pPr>
              <w:autoSpaceDE w:val="0"/>
              <w:autoSpaceDN w:val="0"/>
              <w:adjustRightInd w:val="0"/>
              <w:ind w:left="113" w:right="113"/>
              <w:jc w:val="center"/>
              <w:rPr>
                <w:rFonts w:ascii="Trebuchet MS" w:hAnsi="Trebuchet MS" w:cs="Calibri-Bold"/>
                <w:b/>
                <w:bCs/>
                <w:sz w:val="20"/>
                <w:szCs w:val="20"/>
              </w:rPr>
            </w:pPr>
            <w:r>
              <w:rPr>
                <w:rFonts w:ascii="Trebuchet MS" w:hAnsi="Trebuchet MS" w:cs="Calibri-Bold"/>
                <w:b/>
                <w:bCs/>
                <w:sz w:val="20"/>
                <w:szCs w:val="20"/>
              </w:rPr>
              <w:t xml:space="preserve"> Rispetto dell’iter</w:t>
            </w:r>
          </w:p>
          <w:p w:rsidR="00866BDE" w:rsidRDefault="00866BDE" w:rsidP="00F25100">
            <w:pPr>
              <w:autoSpaceDE w:val="0"/>
              <w:autoSpaceDN w:val="0"/>
              <w:adjustRightInd w:val="0"/>
              <w:ind w:left="113" w:right="113"/>
              <w:jc w:val="center"/>
              <w:rPr>
                <w:rFonts w:ascii="Trebuchet MS" w:hAnsi="Trebuchet MS" w:cs="Calibri-Bold"/>
                <w:b/>
                <w:bCs/>
                <w:sz w:val="20"/>
                <w:szCs w:val="20"/>
              </w:rPr>
            </w:pPr>
            <w:r>
              <w:rPr>
                <w:rFonts w:ascii="Trebuchet MS" w:hAnsi="Trebuchet MS" w:cs="Calibri-Bold"/>
                <w:b/>
                <w:bCs/>
                <w:sz w:val="20"/>
                <w:szCs w:val="20"/>
              </w:rPr>
              <w:t>adempimenti procedurale</w:t>
            </w:r>
          </w:p>
          <w:p w:rsidR="00866BDE" w:rsidRDefault="00866BDE" w:rsidP="00F25100">
            <w:pPr>
              <w:autoSpaceDE w:val="0"/>
              <w:autoSpaceDN w:val="0"/>
              <w:adjustRightInd w:val="0"/>
              <w:ind w:left="113" w:right="113"/>
              <w:jc w:val="center"/>
              <w:rPr>
                <w:rFonts w:ascii="Trebuchet MS" w:hAnsi="Trebuchet MS" w:cs="Calibri-Bold"/>
                <w:b/>
                <w:bCs/>
                <w:sz w:val="20"/>
                <w:szCs w:val="20"/>
              </w:rPr>
            </w:pPr>
            <w:r>
              <w:rPr>
                <w:rFonts w:ascii="Trebuchet MS" w:hAnsi="Trebuchet MS" w:cs="Calibri-Bold"/>
                <w:b/>
                <w:bCs/>
                <w:sz w:val="20"/>
                <w:szCs w:val="20"/>
              </w:rPr>
              <w:t>e degli atti propedeutici e successivi alla contrattazione</w:t>
            </w:r>
          </w:p>
          <w:p w:rsidR="00866BDE" w:rsidRDefault="00866BDE" w:rsidP="00F25100">
            <w:pPr>
              <w:autoSpaceDE w:val="0"/>
              <w:autoSpaceDN w:val="0"/>
              <w:adjustRightInd w:val="0"/>
              <w:ind w:left="113" w:right="113"/>
              <w:rPr>
                <w:rFonts w:ascii="Trebuchet MS" w:hAnsi="Trebuchet MS" w:cs="Calibri-Bold"/>
                <w:b/>
                <w:bCs/>
                <w:sz w:val="20"/>
                <w:szCs w:val="20"/>
              </w:rPr>
            </w:pPr>
          </w:p>
        </w:tc>
        <w:tc>
          <w:tcPr>
            <w:tcW w:w="2176" w:type="dxa"/>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Intervento</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dell’Organo di</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controllo interno.</w:t>
            </w:r>
          </w:p>
          <w:p w:rsidR="00866BDE" w:rsidRDefault="00866BDE" w:rsidP="00F25100">
            <w:pPr>
              <w:autoSpaceDE w:val="0"/>
              <w:autoSpaceDN w:val="0"/>
              <w:adjustRightInd w:val="0"/>
              <w:rPr>
                <w:rFonts w:ascii="Trebuchet MS" w:hAnsi="Trebuchet MS" w:cs="Calibri-Bold"/>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
                <w:sz w:val="20"/>
                <w:szCs w:val="20"/>
              </w:rPr>
            </w:pPr>
            <w:r>
              <w:rPr>
                <w:rFonts w:ascii="Trebuchet MS" w:hAnsi="Trebuchet MS" w:cs="Calibri"/>
                <w:sz w:val="20"/>
                <w:szCs w:val="20"/>
              </w:rPr>
              <w:t>È stata acquisita la certificazione dell’Organo di controllo interno</w:t>
            </w:r>
          </w:p>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 xml:space="preserve">N. di Valutazione :Nella seduta del 2 dicembre 2013 esaminati  le linee programmatiche e gli obiettivi dell’ente e l’ipotesi di CC.DD.II. 2013 . Nella seduta del 4 dicembre, verificato  il progetto di miglioramento e il suo stato di attuazione, esaminate le schede di valutazione del progetto e quelle per la valutazione del 2013 e condivisi gli obiettivi della posizione organizzativa. </w:t>
            </w:r>
          </w:p>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 xml:space="preserve">Collegio Revisori: Parere sull’Ipotesi di CC.DD. II. 2013   in data 5 dicembre 2013. </w:t>
            </w:r>
          </w:p>
        </w:tc>
      </w:tr>
      <w:tr w:rsidR="00866BDE" w:rsidTr="00F25100">
        <w:tc>
          <w:tcPr>
            <w:tcW w:w="3277" w:type="dxa"/>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2176"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Allegazione della</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Certificazione</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dell’Organo di</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controllo interno</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alla Relazione</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illustrativa.</w:t>
            </w:r>
          </w:p>
        </w:tc>
        <w:tc>
          <w:tcPr>
            <w:tcW w:w="6577" w:type="dxa"/>
            <w:tcBorders>
              <w:top w:val="single" w:sz="4" w:space="0" w:color="auto"/>
              <w:left w:val="single" w:sz="4" w:space="0" w:color="auto"/>
              <w:bottom w:val="single" w:sz="4" w:space="0" w:color="auto"/>
              <w:right w:val="single" w:sz="4" w:space="0" w:color="auto"/>
            </w:tcBorders>
          </w:tcPr>
          <w:p w:rsidR="00866BDE" w:rsidRPr="00C10665" w:rsidRDefault="00866BDE" w:rsidP="00F25100">
            <w:pPr>
              <w:autoSpaceDE w:val="0"/>
              <w:autoSpaceDN w:val="0"/>
              <w:adjustRightInd w:val="0"/>
              <w:rPr>
                <w:rFonts w:ascii="Trebuchet MS" w:hAnsi="Trebuchet MS" w:cs="Calibri"/>
                <w:sz w:val="20"/>
                <w:szCs w:val="20"/>
              </w:rPr>
            </w:pPr>
            <w:r w:rsidRPr="00C10665">
              <w:rPr>
                <w:rFonts w:ascii="Trebuchet MS" w:hAnsi="Trebuchet MS" w:cs="Calibri"/>
                <w:sz w:val="20"/>
                <w:szCs w:val="20"/>
              </w:rPr>
              <w:t>Nel caso l’Organo di controllo interno abbia effettuato rilievi, descriverli.</w:t>
            </w:r>
          </w:p>
          <w:p w:rsidR="00866BDE" w:rsidRPr="00C10665" w:rsidRDefault="00866BDE" w:rsidP="00F25100">
            <w:pPr>
              <w:autoSpaceDE w:val="0"/>
              <w:autoSpaceDN w:val="0"/>
              <w:adjustRightInd w:val="0"/>
              <w:rPr>
                <w:rFonts w:ascii="Trebuchet MS" w:hAnsi="Trebuchet MS" w:cs="Calibri"/>
                <w:sz w:val="20"/>
                <w:szCs w:val="20"/>
              </w:rPr>
            </w:pPr>
          </w:p>
          <w:p w:rsidR="00866BDE" w:rsidRDefault="00866BDE" w:rsidP="00F25100">
            <w:pPr>
              <w:autoSpaceDE w:val="0"/>
              <w:autoSpaceDN w:val="0"/>
              <w:adjustRightInd w:val="0"/>
              <w:rPr>
                <w:rFonts w:ascii="Trebuchet MS" w:hAnsi="Trebuchet MS" w:cs="Calibri"/>
                <w:sz w:val="20"/>
                <w:szCs w:val="20"/>
              </w:rPr>
            </w:pPr>
            <w:r w:rsidRPr="00C10665">
              <w:rPr>
                <w:rFonts w:ascii="Trebuchet MS" w:hAnsi="Trebuchet MS" w:cs="Calibri"/>
                <w:sz w:val="20"/>
                <w:szCs w:val="20"/>
              </w:rPr>
              <w:t>Nessun rilievo</w:t>
            </w:r>
            <w:r>
              <w:rPr>
                <w:rFonts w:ascii="Trebuchet MS" w:hAnsi="Trebuchet MS" w:cs="Calibri"/>
                <w:sz w:val="20"/>
                <w:szCs w:val="20"/>
              </w:rPr>
              <w:t xml:space="preserve"> </w:t>
            </w:r>
          </w:p>
          <w:p w:rsidR="00866BDE" w:rsidRDefault="00866BDE" w:rsidP="00F25100">
            <w:pPr>
              <w:autoSpaceDE w:val="0"/>
              <w:autoSpaceDN w:val="0"/>
              <w:adjustRightInd w:val="0"/>
              <w:rPr>
                <w:rFonts w:ascii="Trebuchet MS" w:hAnsi="Trebuchet MS" w:cs="Calibri-Bold"/>
                <w:b/>
                <w:bCs/>
                <w:sz w:val="20"/>
                <w:szCs w:val="20"/>
              </w:rPr>
            </w:pPr>
          </w:p>
        </w:tc>
      </w:tr>
      <w:tr w:rsidR="00866BDE" w:rsidTr="00F25100">
        <w:tc>
          <w:tcPr>
            <w:tcW w:w="3277" w:type="dxa"/>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2176" w:type="dxa"/>
            <w:vMerge w:val="restart"/>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Attestazione del</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rispetto degli</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obblighi di legge che in caso di</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inadempimento</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comportano la</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sanzione del divieto</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di erogazione della</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retribuzione</w:t>
            </w:r>
          </w:p>
          <w:p w:rsidR="00866BDE" w:rsidRDefault="00866BDE" w:rsidP="00F25100">
            <w:pPr>
              <w:autoSpaceDE w:val="0"/>
              <w:autoSpaceDN w:val="0"/>
              <w:adjustRightInd w:val="0"/>
              <w:rPr>
                <w:rFonts w:ascii="Trebuchet MS" w:hAnsi="Trebuchet MS" w:cs="Calibri-Bold"/>
                <w:b/>
                <w:bCs/>
                <w:sz w:val="20"/>
                <w:szCs w:val="20"/>
              </w:rPr>
            </w:pPr>
            <w:r>
              <w:rPr>
                <w:rFonts w:ascii="Trebuchet MS" w:hAnsi="Trebuchet MS" w:cs="Calibri-Bold"/>
                <w:b/>
                <w:bCs/>
                <w:sz w:val="20"/>
                <w:szCs w:val="20"/>
              </w:rPr>
              <w:t>accessoria</w:t>
            </w:r>
          </w:p>
          <w:p w:rsidR="00866BDE" w:rsidRDefault="00866BDE" w:rsidP="00F25100">
            <w:pPr>
              <w:autoSpaceDE w:val="0"/>
              <w:autoSpaceDN w:val="0"/>
              <w:adjustRightInd w:val="0"/>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
                <w:sz w:val="20"/>
                <w:szCs w:val="20"/>
              </w:rPr>
            </w:pPr>
            <w:r>
              <w:rPr>
                <w:rFonts w:ascii="Trebuchet MS" w:hAnsi="Trebuchet MS" w:cs="Calibri"/>
                <w:sz w:val="20"/>
                <w:szCs w:val="20"/>
              </w:rPr>
              <w:t xml:space="preserve">È stato adottato il Piano della performance previsto dall’art. 10 del d.lgs.150/2009 </w:t>
            </w:r>
          </w:p>
          <w:p w:rsidR="00866BDE" w:rsidRDefault="00866BDE" w:rsidP="00F25100">
            <w:pPr>
              <w:autoSpaceDE w:val="0"/>
              <w:autoSpaceDN w:val="0"/>
              <w:adjustRightInd w:val="0"/>
              <w:rPr>
                <w:rFonts w:ascii="Trebuchet MS" w:hAnsi="Trebuchet MS" w:cs="Calibri-Bold"/>
                <w:bCs/>
                <w:sz w:val="20"/>
                <w:szCs w:val="20"/>
              </w:rPr>
            </w:pPr>
            <w:r>
              <w:rPr>
                <w:rFonts w:ascii="Trebuchet MS" w:hAnsi="Trebuchet MS" w:cs="Calibri-Bold"/>
                <w:bCs/>
                <w:sz w:val="20"/>
                <w:szCs w:val="20"/>
              </w:rPr>
              <w:t xml:space="preserve">Obiettivi indicati nella deliberazione n°14/2014 di approvazione del Bilancio di Previsione e nella Deliberazione n.31/2014 di approvazione del Piano esecutivo di gestione.  </w:t>
            </w:r>
          </w:p>
        </w:tc>
      </w:tr>
      <w:tr w:rsidR="00866BDE" w:rsidTr="00F25100">
        <w:tc>
          <w:tcPr>
            <w:tcW w:w="3277" w:type="dxa"/>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hideMark/>
          </w:tcPr>
          <w:p w:rsidR="00866BDE" w:rsidRDefault="00866BDE" w:rsidP="00F25100">
            <w:pPr>
              <w:autoSpaceDE w:val="0"/>
              <w:autoSpaceDN w:val="0"/>
              <w:adjustRightInd w:val="0"/>
              <w:rPr>
                <w:rFonts w:ascii="Trebuchet MS" w:hAnsi="Trebuchet MS" w:cs="Calibri"/>
                <w:sz w:val="20"/>
                <w:szCs w:val="20"/>
              </w:rPr>
            </w:pPr>
            <w:r>
              <w:rPr>
                <w:rFonts w:ascii="Trebuchet MS" w:hAnsi="Trebuchet MS" w:cs="Calibri"/>
                <w:sz w:val="20"/>
                <w:szCs w:val="20"/>
              </w:rPr>
              <w:t>È stato adottato il Programma triennale per la trasparenza e l’integrità previsto dall’art. 11, comma 2 del d.lgs. 150/2009:</w:t>
            </w:r>
          </w:p>
          <w:p w:rsidR="00866BDE" w:rsidRPr="007531DD" w:rsidRDefault="00866BDE" w:rsidP="00D450EE">
            <w:pPr>
              <w:pStyle w:val="Paragrafoelenco"/>
              <w:numPr>
                <w:ilvl w:val="0"/>
                <w:numId w:val="9"/>
              </w:numPr>
              <w:autoSpaceDE w:val="0"/>
              <w:autoSpaceDN w:val="0"/>
              <w:adjustRightInd w:val="0"/>
              <w:rPr>
                <w:rFonts w:ascii="Trebuchet MS" w:hAnsi="Trebuchet MS" w:cs="Calibri-Bold"/>
                <w:bCs/>
                <w:sz w:val="20"/>
                <w:szCs w:val="20"/>
              </w:rPr>
            </w:pPr>
            <w:r w:rsidRPr="007531DD">
              <w:rPr>
                <w:rFonts w:ascii="Trebuchet MS" w:hAnsi="Trebuchet MS" w:cs="Calibri-Bold"/>
                <w:bCs/>
                <w:sz w:val="20"/>
                <w:szCs w:val="20"/>
              </w:rPr>
              <w:t>deliberazione n°</w:t>
            </w:r>
            <w:r w:rsidR="00D450EE">
              <w:rPr>
                <w:rFonts w:ascii="Trebuchet MS" w:hAnsi="Trebuchet MS" w:cs="Calibri-Bold"/>
                <w:bCs/>
                <w:sz w:val="20"/>
                <w:szCs w:val="20"/>
              </w:rPr>
              <w:t>44</w:t>
            </w:r>
            <w:r w:rsidRPr="007531DD">
              <w:rPr>
                <w:rFonts w:ascii="Trebuchet MS" w:hAnsi="Trebuchet MS" w:cs="Calibri-Bold"/>
                <w:bCs/>
                <w:sz w:val="20"/>
                <w:szCs w:val="20"/>
              </w:rPr>
              <w:t xml:space="preserve"> del</w:t>
            </w:r>
            <w:r>
              <w:rPr>
                <w:rFonts w:ascii="Trebuchet MS" w:hAnsi="Trebuchet MS" w:cs="Calibri-Bold"/>
                <w:bCs/>
                <w:sz w:val="20"/>
                <w:szCs w:val="20"/>
              </w:rPr>
              <w:t xml:space="preserve"> </w:t>
            </w:r>
            <w:r w:rsidR="00D450EE">
              <w:rPr>
                <w:rFonts w:ascii="Trebuchet MS" w:hAnsi="Trebuchet MS" w:cs="Calibri-Bold"/>
                <w:bCs/>
                <w:sz w:val="20"/>
                <w:szCs w:val="20"/>
              </w:rPr>
              <w:t xml:space="preserve">9 dicembre </w:t>
            </w:r>
            <w:r w:rsidRPr="007531DD">
              <w:rPr>
                <w:rFonts w:ascii="Trebuchet MS" w:hAnsi="Trebuchet MS" w:cs="Calibri-Bold"/>
                <w:bCs/>
                <w:sz w:val="20"/>
                <w:szCs w:val="20"/>
              </w:rPr>
              <w:t xml:space="preserve">2014 </w:t>
            </w:r>
          </w:p>
        </w:tc>
      </w:tr>
      <w:tr w:rsidR="00866BDE" w:rsidTr="00F25100">
        <w:tc>
          <w:tcPr>
            <w:tcW w:w="3277" w:type="dxa"/>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
                <w:sz w:val="20"/>
                <w:szCs w:val="20"/>
              </w:rPr>
            </w:pPr>
            <w:r>
              <w:rPr>
                <w:rFonts w:ascii="Trebuchet MS" w:hAnsi="Trebuchet MS" w:cs="Calibri"/>
                <w:sz w:val="20"/>
                <w:szCs w:val="20"/>
              </w:rPr>
              <w:t>È stato assolto l’obbligo di pubblicazione di cui ai commi 6 e 8 dell’art. 11 del d.lgs. 150/2009.</w:t>
            </w:r>
          </w:p>
          <w:p w:rsidR="00866BDE" w:rsidRDefault="00866BDE" w:rsidP="00F25100">
            <w:pPr>
              <w:autoSpaceDE w:val="0"/>
              <w:autoSpaceDN w:val="0"/>
              <w:adjustRightInd w:val="0"/>
              <w:rPr>
                <w:rFonts w:ascii="Trebuchet MS" w:hAnsi="Trebuchet MS" w:cs="Calibri-Bold"/>
                <w:b/>
                <w:bCs/>
                <w:sz w:val="20"/>
                <w:szCs w:val="20"/>
              </w:rPr>
            </w:pPr>
            <w:r w:rsidRPr="00D450EE">
              <w:rPr>
                <w:rFonts w:ascii="Trebuchet MS" w:hAnsi="Trebuchet MS" w:cs="Calibri-Bold"/>
                <w:b/>
                <w:bCs/>
                <w:sz w:val="20"/>
                <w:szCs w:val="20"/>
              </w:rPr>
              <w:t>Obbligo assolto</w:t>
            </w:r>
          </w:p>
        </w:tc>
      </w:tr>
      <w:tr w:rsidR="00866BDE" w:rsidTr="00F25100">
        <w:tc>
          <w:tcPr>
            <w:tcW w:w="3277" w:type="dxa"/>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866BDE" w:rsidRDefault="00866BDE" w:rsidP="00F25100">
            <w:pPr>
              <w:rPr>
                <w:rFonts w:ascii="Trebuchet MS" w:hAnsi="Trebuchet MS" w:cs="Calibri-Bold"/>
                <w:b/>
                <w:bCs/>
                <w:sz w:val="20"/>
                <w:szCs w:val="20"/>
              </w:rPr>
            </w:pPr>
          </w:p>
        </w:tc>
        <w:tc>
          <w:tcPr>
            <w:tcW w:w="6577" w:type="dxa"/>
            <w:tcBorders>
              <w:top w:val="single" w:sz="4" w:space="0" w:color="auto"/>
              <w:left w:val="single" w:sz="4" w:space="0" w:color="auto"/>
              <w:bottom w:val="single" w:sz="4" w:space="0" w:color="auto"/>
              <w:right w:val="single" w:sz="4" w:space="0" w:color="auto"/>
            </w:tcBorders>
          </w:tcPr>
          <w:p w:rsidR="00866BDE" w:rsidRPr="00C10665" w:rsidRDefault="00866BDE" w:rsidP="00F25100">
            <w:pPr>
              <w:autoSpaceDE w:val="0"/>
              <w:autoSpaceDN w:val="0"/>
              <w:adjustRightInd w:val="0"/>
              <w:rPr>
                <w:rFonts w:ascii="Trebuchet MS" w:hAnsi="Trebuchet MS" w:cs="Calibri"/>
                <w:sz w:val="20"/>
                <w:szCs w:val="20"/>
              </w:rPr>
            </w:pPr>
            <w:r w:rsidRPr="00C10665">
              <w:rPr>
                <w:rFonts w:ascii="Trebuchet MS" w:hAnsi="Trebuchet MS" w:cs="Calibri"/>
                <w:sz w:val="20"/>
                <w:szCs w:val="20"/>
              </w:rPr>
              <w:t>La Relazione della Performance è stata validata dall’OIV ai sensi</w:t>
            </w:r>
          </w:p>
          <w:p w:rsidR="00866BDE" w:rsidRPr="00C10665" w:rsidRDefault="00866BDE" w:rsidP="00F25100">
            <w:pPr>
              <w:autoSpaceDE w:val="0"/>
              <w:autoSpaceDN w:val="0"/>
              <w:adjustRightInd w:val="0"/>
              <w:rPr>
                <w:rFonts w:ascii="Trebuchet MS" w:hAnsi="Trebuchet MS" w:cs="Calibri"/>
                <w:sz w:val="20"/>
                <w:szCs w:val="20"/>
              </w:rPr>
            </w:pPr>
            <w:r w:rsidRPr="00C10665">
              <w:rPr>
                <w:rFonts w:ascii="Trebuchet MS" w:hAnsi="Trebuchet MS" w:cs="Calibri"/>
                <w:sz w:val="20"/>
                <w:szCs w:val="20"/>
              </w:rPr>
              <w:t>dell’articolo 14, comma 6. del d.lgs. n. 150/2009.</w:t>
            </w:r>
          </w:p>
          <w:p w:rsidR="00866BDE" w:rsidRPr="00C10665" w:rsidRDefault="00866BDE" w:rsidP="00D450EE">
            <w:pPr>
              <w:autoSpaceDE w:val="0"/>
              <w:autoSpaceDN w:val="0"/>
              <w:adjustRightInd w:val="0"/>
              <w:rPr>
                <w:rFonts w:ascii="Trebuchet MS" w:hAnsi="Trebuchet MS" w:cs="Calibri-Bold"/>
                <w:b/>
                <w:bCs/>
                <w:sz w:val="20"/>
                <w:szCs w:val="20"/>
              </w:rPr>
            </w:pPr>
            <w:r w:rsidRPr="00C10665">
              <w:rPr>
                <w:rFonts w:ascii="Trebuchet MS" w:hAnsi="Trebuchet MS" w:cs="Calibri-Bold"/>
                <w:b/>
                <w:bCs/>
                <w:sz w:val="20"/>
                <w:szCs w:val="20"/>
              </w:rPr>
              <w:t>Relazione validata dal nucleo di valutazione</w:t>
            </w:r>
            <w:r w:rsidR="00D450EE">
              <w:rPr>
                <w:rFonts w:ascii="Trebuchet MS" w:hAnsi="Trebuchet MS" w:cs="Calibri-Bold"/>
                <w:b/>
                <w:bCs/>
                <w:sz w:val="20"/>
                <w:szCs w:val="20"/>
              </w:rPr>
              <w:t xml:space="preserve"> nella seduta del 12 dicembre 2014</w:t>
            </w:r>
            <w:r w:rsidRPr="00C10665">
              <w:rPr>
                <w:rFonts w:ascii="Trebuchet MS" w:hAnsi="Trebuchet MS" w:cs="Calibri-Bold"/>
                <w:b/>
                <w:bCs/>
                <w:sz w:val="20"/>
                <w:szCs w:val="20"/>
              </w:rPr>
              <w:t xml:space="preserve">. </w:t>
            </w:r>
          </w:p>
        </w:tc>
      </w:tr>
      <w:tr w:rsidR="00866BDE" w:rsidTr="00F25100">
        <w:tc>
          <w:tcPr>
            <w:tcW w:w="3277" w:type="dxa"/>
            <w:gridSpan w:val="2"/>
            <w:tcBorders>
              <w:top w:val="single" w:sz="4" w:space="0" w:color="auto"/>
              <w:left w:val="single" w:sz="4" w:space="0" w:color="auto"/>
              <w:bottom w:val="single" w:sz="4" w:space="0" w:color="auto"/>
              <w:right w:val="single" w:sz="4" w:space="0" w:color="auto"/>
            </w:tcBorders>
            <w:hideMark/>
          </w:tcPr>
          <w:p w:rsidR="00866BDE" w:rsidRDefault="00866BDE" w:rsidP="00F25100">
            <w:pPr>
              <w:rPr>
                <w:rFonts w:ascii="Trebuchet MS" w:hAnsi="Trebuchet MS" w:cs="Calibri-Bold"/>
                <w:b/>
                <w:bCs/>
                <w:sz w:val="20"/>
                <w:szCs w:val="20"/>
              </w:rPr>
            </w:pPr>
            <w:r>
              <w:rPr>
                <w:rFonts w:ascii="Trebuchet MS" w:hAnsi="Trebuchet MS" w:cs="Calibri-Bold"/>
                <w:b/>
                <w:bCs/>
                <w:sz w:val="20"/>
                <w:szCs w:val="20"/>
              </w:rPr>
              <w:t>Eventuali osservazioni</w:t>
            </w:r>
          </w:p>
        </w:tc>
        <w:tc>
          <w:tcPr>
            <w:tcW w:w="6577" w:type="dxa"/>
            <w:tcBorders>
              <w:top w:val="single" w:sz="4" w:space="0" w:color="auto"/>
              <w:left w:val="single" w:sz="4" w:space="0" w:color="auto"/>
              <w:bottom w:val="single" w:sz="4" w:space="0" w:color="auto"/>
              <w:right w:val="single" w:sz="4" w:space="0" w:color="auto"/>
            </w:tcBorders>
          </w:tcPr>
          <w:p w:rsidR="00866BDE" w:rsidRDefault="00866BDE" w:rsidP="00F25100">
            <w:pPr>
              <w:autoSpaceDE w:val="0"/>
              <w:autoSpaceDN w:val="0"/>
              <w:adjustRightInd w:val="0"/>
              <w:rPr>
                <w:rFonts w:ascii="Trebuchet MS" w:hAnsi="Trebuchet MS" w:cs="Calibri-Bold"/>
                <w:b/>
                <w:bCs/>
                <w:sz w:val="20"/>
                <w:szCs w:val="20"/>
              </w:rPr>
            </w:pPr>
          </w:p>
        </w:tc>
      </w:tr>
    </w:tbl>
    <w:p w:rsidR="00A613BB" w:rsidRPr="00866BDE" w:rsidRDefault="00866BDE">
      <w:pPr>
        <w:rPr>
          <w:rFonts w:ascii="Trebuchet MS" w:hAnsi="Trebuchet MS" w:cs="Calibri-BoldItalic"/>
          <w:b/>
          <w:bCs/>
          <w:i/>
          <w:iCs/>
          <w:sz w:val="20"/>
          <w:szCs w:val="20"/>
        </w:rPr>
      </w:pPr>
      <w:r>
        <w:rPr>
          <w:rFonts w:ascii="Trebuchet MS" w:hAnsi="Trebuchet MS" w:cs="Calibri-BoldItalic"/>
          <w:b/>
          <w:bCs/>
          <w:i/>
          <w:iCs/>
          <w:sz w:val="20"/>
          <w:szCs w:val="20"/>
        </w:rPr>
        <w:br w:type="page"/>
      </w:r>
    </w:p>
    <w:p w:rsidR="00A613BB" w:rsidRDefault="00A613BB" w:rsidP="00A613BB">
      <w:pPr>
        <w:rPr>
          <w:rFonts w:ascii="Calibri-BoldItalic" w:hAnsi="Calibri-BoldItalic" w:cs="Calibri-BoldItalic"/>
          <w:b/>
          <w:bCs/>
          <w:i/>
          <w:iCs/>
          <w:color w:val="000000"/>
          <w:sz w:val="20"/>
          <w:szCs w:val="20"/>
        </w:rPr>
      </w:pPr>
      <w:r>
        <w:rPr>
          <w:rFonts w:ascii="Calibri-BoldItalic" w:hAnsi="Calibri-BoldItalic" w:cs="Calibri-BoldItalic"/>
          <w:b/>
          <w:bCs/>
          <w:i/>
          <w:iCs/>
          <w:color w:val="000000"/>
          <w:sz w:val="28"/>
          <w:szCs w:val="28"/>
        </w:rPr>
        <w:lastRenderedPageBreak/>
        <w:t xml:space="preserve">II.2 </w:t>
      </w:r>
      <w:r>
        <w:rPr>
          <w:rFonts w:ascii="Cambria Math" w:hAnsi="Cambria Math" w:cs="Cambria Math"/>
          <w:b/>
          <w:bCs/>
          <w:i/>
          <w:iCs/>
          <w:color w:val="000000"/>
          <w:sz w:val="28"/>
          <w:szCs w:val="28"/>
        </w:rPr>
        <w:t>‐</w:t>
      </w:r>
      <w:r>
        <w:rPr>
          <w:rFonts w:ascii="Calibri-BoldItalic" w:hAnsi="Calibri-BoldItalic" w:cs="Calibri-BoldItalic"/>
          <w:b/>
          <w:bCs/>
          <w:i/>
          <w:iCs/>
          <w:color w:val="000000"/>
          <w:sz w:val="28"/>
          <w:szCs w:val="28"/>
        </w:rPr>
        <w:t xml:space="preserve"> Modulo 2 </w:t>
      </w:r>
      <w:r w:rsidRPr="00AE7700">
        <w:rPr>
          <w:rFonts w:ascii="Calibri-BoldItalic" w:hAnsi="Calibri-BoldItalic" w:cs="Calibri-BoldItalic"/>
          <w:b/>
          <w:bCs/>
          <w:i/>
          <w:iCs/>
          <w:color w:val="000000"/>
          <w:sz w:val="20"/>
          <w:szCs w:val="20"/>
        </w:rPr>
        <w:t>Illustrazione dell’articolato del contratto</w:t>
      </w:r>
      <w:r>
        <w:rPr>
          <w:rFonts w:ascii="Calibri-BoldItalic" w:hAnsi="Calibri-BoldItalic" w:cs="Calibri-BoldItalic"/>
          <w:b/>
          <w:bCs/>
          <w:i/>
          <w:iCs/>
          <w:color w:val="000000"/>
          <w:sz w:val="20"/>
          <w:szCs w:val="20"/>
        </w:rPr>
        <w:t xml:space="preserve"> </w:t>
      </w:r>
    </w:p>
    <w:p w:rsidR="00A613BB" w:rsidRPr="006C2EF6" w:rsidRDefault="00A613BB" w:rsidP="00A613BB">
      <w:pPr>
        <w:autoSpaceDE w:val="0"/>
        <w:autoSpaceDN w:val="0"/>
        <w:adjustRightInd w:val="0"/>
        <w:spacing w:after="0" w:line="240" w:lineRule="auto"/>
        <w:rPr>
          <w:rFonts w:ascii="Calibri-BoldItalic" w:hAnsi="Calibri-BoldItalic" w:cs="Calibri-BoldItalic"/>
          <w:bCs/>
          <w:i/>
          <w:iCs/>
          <w:color w:val="000000"/>
          <w:sz w:val="20"/>
          <w:szCs w:val="20"/>
        </w:rPr>
      </w:pPr>
      <w:r w:rsidRPr="006C2EF6">
        <w:rPr>
          <w:rFonts w:ascii="Calibri-BoldItalic" w:hAnsi="Calibri-BoldItalic" w:cs="Calibri-BoldItalic"/>
          <w:bCs/>
          <w:i/>
          <w:iCs/>
          <w:color w:val="000000"/>
          <w:sz w:val="20"/>
          <w:szCs w:val="20"/>
        </w:rPr>
        <w:t>(Attestazione della compatibilità con i vincoli derivanti da norme di legge e</w:t>
      </w:r>
      <w:r>
        <w:rPr>
          <w:rFonts w:ascii="Calibri-BoldItalic" w:hAnsi="Calibri-BoldItalic" w:cs="Calibri-BoldItalic"/>
          <w:bCs/>
          <w:i/>
          <w:iCs/>
          <w:color w:val="000000"/>
          <w:sz w:val="20"/>
          <w:szCs w:val="20"/>
        </w:rPr>
        <w:t xml:space="preserve"> </w:t>
      </w:r>
      <w:r w:rsidRPr="006C2EF6">
        <w:rPr>
          <w:rFonts w:ascii="Calibri-BoldItalic" w:hAnsi="Calibri-BoldItalic" w:cs="Calibri-BoldItalic"/>
          <w:bCs/>
          <w:i/>
          <w:iCs/>
          <w:color w:val="000000"/>
          <w:sz w:val="20"/>
          <w:szCs w:val="20"/>
        </w:rPr>
        <w:t xml:space="preserve">di contratto nazionale –modalità di utilizzo delle risorse accessorie </w:t>
      </w:r>
      <w:r w:rsidRPr="006C2EF6">
        <w:rPr>
          <w:rFonts w:ascii="Cambria Math" w:hAnsi="Cambria Math" w:cs="Cambria Math"/>
          <w:bCs/>
          <w:i/>
          <w:iCs/>
          <w:color w:val="000000"/>
          <w:sz w:val="20"/>
          <w:szCs w:val="20"/>
        </w:rPr>
        <w:t>‐</w:t>
      </w:r>
      <w:r w:rsidRPr="006C2EF6">
        <w:rPr>
          <w:rFonts w:ascii="Calibri-BoldItalic" w:hAnsi="Calibri-BoldItalic" w:cs="Calibri-BoldItalic"/>
          <w:bCs/>
          <w:i/>
          <w:iCs/>
          <w:color w:val="000000"/>
          <w:sz w:val="20"/>
          <w:szCs w:val="20"/>
        </w:rPr>
        <w:t xml:space="preserve"> risultati</w:t>
      </w:r>
      <w:r>
        <w:rPr>
          <w:rFonts w:ascii="Calibri-BoldItalic" w:hAnsi="Calibri-BoldItalic" w:cs="Calibri-BoldItalic"/>
          <w:bCs/>
          <w:i/>
          <w:iCs/>
          <w:color w:val="000000"/>
          <w:sz w:val="20"/>
          <w:szCs w:val="20"/>
        </w:rPr>
        <w:t xml:space="preserve"> </w:t>
      </w:r>
      <w:r w:rsidRPr="006C2EF6">
        <w:rPr>
          <w:rFonts w:ascii="Calibri-BoldItalic" w:hAnsi="Calibri-BoldItalic" w:cs="Calibri-BoldItalic"/>
          <w:bCs/>
          <w:i/>
          <w:iCs/>
          <w:color w:val="000000"/>
          <w:sz w:val="20"/>
          <w:szCs w:val="20"/>
        </w:rPr>
        <w:t xml:space="preserve">attesi </w:t>
      </w:r>
      <w:r w:rsidRPr="006C2EF6">
        <w:rPr>
          <w:rFonts w:ascii="Cambria Math" w:hAnsi="Cambria Math" w:cs="Cambria Math"/>
          <w:bCs/>
          <w:i/>
          <w:iCs/>
          <w:color w:val="000000"/>
          <w:sz w:val="20"/>
          <w:szCs w:val="20"/>
        </w:rPr>
        <w:t>‐</w:t>
      </w:r>
      <w:r w:rsidRPr="006C2EF6">
        <w:rPr>
          <w:rFonts w:ascii="Calibri-BoldItalic" w:hAnsi="Calibri-BoldItalic" w:cs="Calibri-BoldItalic"/>
          <w:bCs/>
          <w:i/>
          <w:iCs/>
          <w:color w:val="000000"/>
          <w:sz w:val="20"/>
          <w:szCs w:val="20"/>
        </w:rPr>
        <w:t xml:space="preserve"> altre informazioni utili)</w:t>
      </w:r>
    </w:p>
    <w:p w:rsidR="00A613BB" w:rsidRPr="001452FC" w:rsidRDefault="00A613BB" w:rsidP="00A613BB">
      <w:pPr>
        <w:autoSpaceDE w:val="0"/>
        <w:autoSpaceDN w:val="0"/>
        <w:adjustRightInd w:val="0"/>
        <w:spacing w:after="0" w:line="240" w:lineRule="auto"/>
        <w:rPr>
          <w:rFonts w:ascii="Tempus Sans ITC" w:hAnsi="Tempus Sans ITC" w:cs="Aharoni"/>
          <w:color w:val="000000"/>
          <w:sz w:val="20"/>
          <w:szCs w:val="20"/>
        </w:rPr>
      </w:pPr>
      <w:r w:rsidRPr="001452FC">
        <w:rPr>
          <w:rFonts w:ascii="Tempus Sans ITC" w:hAnsi="Tempus Sans ITC" w:cs="Aharoni"/>
          <w:color w:val="000000"/>
          <w:sz w:val="20"/>
          <w:szCs w:val="20"/>
        </w:rPr>
        <w:t>Il modulo ripercorre ogni articolo dell’accordo proposto alla certificazione ai fini della verifica della compatibilità con i vincoli derivanti da norme di legge e di contratto nazionale, illustrandone in modo chiaro e verificabile i contenuti e gli eventuali elementi contestuali necessari alla comprensione del testo contrattuale.</w:t>
      </w:r>
    </w:p>
    <w:p w:rsidR="00A613BB" w:rsidRPr="001452FC" w:rsidRDefault="00A613BB" w:rsidP="00A613BB">
      <w:pPr>
        <w:autoSpaceDE w:val="0"/>
        <w:autoSpaceDN w:val="0"/>
        <w:adjustRightInd w:val="0"/>
        <w:spacing w:after="0" w:line="240" w:lineRule="auto"/>
        <w:rPr>
          <w:rFonts w:ascii="Tempus Sans ITC" w:hAnsi="Tempus Sans ITC" w:cs="Aharoni"/>
          <w:color w:val="000000"/>
          <w:sz w:val="20"/>
          <w:szCs w:val="20"/>
        </w:rPr>
      </w:pPr>
      <w:r w:rsidRPr="001452FC">
        <w:rPr>
          <w:rFonts w:ascii="Tempus Sans ITC" w:hAnsi="Tempus Sans ITC" w:cs="Aharoni"/>
          <w:color w:val="000000"/>
          <w:sz w:val="20"/>
          <w:szCs w:val="20"/>
        </w:rPr>
        <w:t>Inoltre, considerato che l’utilizzo di sistemi premianti secondo criteri di valorizzazione del merito è una delle fasi del ciclo di gestione della performance (cfr. articolo 4 del Decreto Legislativo n. 150/2009) e che il comma 4 dell’articolo 40</w:t>
      </w:r>
      <w:r w:rsidRPr="001452FC">
        <w:rPr>
          <w:rFonts w:ascii="Cambria Math" w:hAnsi="Cambria Math" w:cs="Cambria Math"/>
          <w:color w:val="000000"/>
          <w:sz w:val="20"/>
          <w:szCs w:val="20"/>
        </w:rPr>
        <w:t>‐</w:t>
      </w:r>
      <w:r w:rsidRPr="001452FC">
        <w:rPr>
          <w:rFonts w:ascii="Tempus Sans ITC" w:hAnsi="Tempus Sans ITC" w:cs="Aharoni"/>
          <w:i/>
          <w:iCs/>
          <w:color w:val="000000"/>
          <w:sz w:val="20"/>
          <w:szCs w:val="20"/>
        </w:rPr>
        <w:t xml:space="preserve">bis </w:t>
      </w:r>
      <w:r w:rsidRPr="001452FC">
        <w:rPr>
          <w:rFonts w:ascii="Tempus Sans ITC" w:hAnsi="Tempus Sans ITC" w:cs="Aharoni"/>
          <w:color w:val="000000"/>
          <w:sz w:val="20"/>
          <w:szCs w:val="20"/>
        </w:rPr>
        <w:t xml:space="preserve">del Decreto Legislativo n. 165/2001 prevede che la contrattazione integrativa tenga conto dei bisogni della collettività e dell’utenza, emerge l’esigenza di stipulare contratti integrativi in un quadro di compatibilità con gli obiettivi strategici ed operativi dell’Amministrazione, al fine di contribuire al raggiungimento dei </w:t>
      </w:r>
      <w:r w:rsidRPr="001452FC">
        <w:rPr>
          <w:rFonts w:ascii="Tempus Sans ITC" w:hAnsi="Tempus Sans ITC" w:cs="Aharoni"/>
          <w:i/>
          <w:iCs/>
          <w:color w:val="000000"/>
          <w:sz w:val="20"/>
          <w:szCs w:val="20"/>
        </w:rPr>
        <w:t xml:space="preserve">risultati </w:t>
      </w:r>
      <w:r w:rsidRPr="001452FC">
        <w:rPr>
          <w:rFonts w:ascii="Tempus Sans ITC" w:hAnsi="Tempus Sans ITC" w:cs="Aharoni"/>
          <w:color w:val="000000"/>
          <w:sz w:val="20"/>
          <w:szCs w:val="20"/>
        </w:rPr>
        <w:t xml:space="preserve">previsti negli strumenti di pianificazione e gestione. A tal fine appare opportuna l’indicazione dei </w:t>
      </w:r>
      <w:r w:rsidRPr="001452FC">
        <w:rPr>
          <w:rFonts w:ascii="Tempus Sans ITC" w:hAnsi="Tempus Sans ITC" w:cs="Aharoni"/>
          <w:i/>
          <w:iCs/>
          <w:color w:val="000000"/>
          <w:sz w:val="20"/>
          <w:szCs w:val="20"/>
        </w:rPr>
        <w:t xml:space="preserve">risultati attesi </w:t>
      </w:r>
      <w:r w:rsidRPr="001452FC">
        <w:rPr>
          <w:rFonts w:ascii="Tempus Sans ITC" w:hAnsi="Tempus Sans ITC" w:cs="Aharoni"/>
          <w:color w:val="000000"/>
          <w:sz w:val="20"/>
          <w:szCs w:val="20"/>
        </w:rPr>
        <w:t>dalla stipulazione del contratto integrativo in correlazione con gli strumenti di programmazione gestionale, adottati dall’Amministrazione in coerenza con le previsioni del Titolo II del Decreto Legislativo n. 150/2009.</w:t>
      </w:r>
    </w:p>
    <w:p w:rsidR="00A613BB" w:rsidRPr="001452FC" w:rsidRDefault="00A613BB" w:rsidP="00A613BB">
      <w:pPr>
        <w:autoSpaceDE w:val="0"/>
        <w:autoSpaceDN w:val="0"/>
        <w:adjustRightInd w:val="0"/>
        <w:spacing w:after="0" w:line="240" w:lineRule="auto"/>
        <w:rPr>
          <w:rFonts w:ascii="Tempus Sans ITC" w:hAnsi="Tempus Sans ITC" w:cs="Aharoni"/>
          <w:i/>
          <w:iCs/>
          <w:color w:val="0F0F0F"/>
          <w:sz w:val="20"/>
          <w:szCs w:val="20"/>
        </w:rPr>
      </w:pPr>
      <w:r w:rsidRPr="001452FC">
        <w:rPr>
          <w:rFonts w:ascii="Tempus Sans ITC" w:hAnsi="Tempus Sans ITC" w:cs="Aharoni"/>
          <w:i/>
          <w:iCs/>
          <w:color w:val="0F0F0F"/>
          <w:sz w:val="20"/>
          <w:szCs w:val="20"/>
          <w:highlight w:val="lightGray"/>
        </w:rPr>
        <w:t>NOTA BENE</w:t>
      </w:r>
    </w:p>
    <w:p w:rsidR="00A613BB" w:rsidRDefault="00A613BB" w:rsidP="00A613BB">
      <w:pPr>
        <w:autoSpaceDE w:val="0"/>
        <w:autoSpaceDN w:val="0"/>
        <w:adjustRightInd w:val="0"/>
        <w:spacing w:after="0" w:line="240" w:lineRule="auto"/>
        <w:rPr>
          <w:rFonts w:ascii="Tempus Sans ITC" w:hAnsi="Tempus Sans ITC" w:cs="Aharoni"/>
          <w:i/>
          <w:iCs/>
          <w:color w:val="0F0F0F"/>
          <w:sz w:val="20"/>
          <w:szCs w:val="20"/>
        </w:rPr>
      </w:pPr>
      <w:r w:rsidRPr="001452FC">
        <w:rPr>
          <w:rFonts w:ascii="Tempus Sans ITC" w:hAnsi="Tempus Sans ITC" w:cs="Aharoni"/>
          <w:i/>
          <w:iCs/>
          <w:color w:val="0F0F0F"/>
          <w:sz w:val="20"/>
          <w:szCs w:val="20"/>
        </w:rPr>
        <w:t>Per illustrare i risultati attesi, possono essere presi in considerazione gli obiettivi operativi previsti dal Piano della Performance per l’anno di riferimento, i quali declinano l’orizzonte strategico dei singoli esercizi (breve periodo), rientrando negli strumenti di natura programmatica delle attività delle amministrazioni (Delibera CIVIT n. 112/2010; Delibera CIVIT n. 89/2010).</w:t>
      </w:r>
    </w:p>
    <w:p w:rsidR="00A613BB" w:rsidRPr="001452FC" w:rsidRDefault="00A613BB" w:rsidP="00A613BB">
      <w:pPr>
        <w:autoSpaceDE w:val="0"/>
        <w:autoSpaceDN w:val="0"/>
        <w:adjustRightInd w:val="0"/>
        <w:spacing w:after="0" w:line="240" w:lineRule="auto"/>
        <w:rPr>
          <w:rFonts w:ascii="Tempus Sans ITC" w:hAnsi="Tempus Sans ITC" w:cs="Aharoni"/>
          <w:color w:val="000000"/>
          <w:sz w:val="20"/>
          <w:szCs w:val="20"/>
        </w:rPr>
      </w:pPr>
      <w:r w:rsidRPr="001452FC">
        <w:rPr>
          <w:rFonts w:ascii="Tempus Sans ITC" w:hAnsi="Tempus Sans ITC" w:cs="Aharoni"/>
          <w:color w:val="000000"/>
          <w:sz w:val="20"/>
          <w:szCs w:val="20"/>
        </w:rPr>
        <w:t>L’illustrazione dei contenuti dell’articolato è effettuata per singolo articolo e/o per ogni istituto/materia regolato, attestandone la compatibilità legislativa e contrattuale.</w:t>
      </w:r>
    </w:p>
    <w:p w:rsidR="00A613BB" w:rsidRPr="001452FC" w:rsidRDefault="00A613BB" w:rsidP="00A613BB">
      <w:pPr>
        <w:autoSpaceDE w:val="0"/>
        <w:autoSpaceDN w:val="0"/>
        <w:adjustRightInd w:val="0"/>
        <w:spacing w:after="0" w:line="240" w:lineRule="auto"/>
        <w:rPr>
          <w:rFonts w:ascii="Tempus Sans ITC" w:hAnsi="Tempus Sans ITC" w:cs="Aharoni"/>
          <w:color w:val="000000"/>
          <w:sz w:val="20"/>
          <w:szCs w:val="20"/>
        </w:rPr>
      </w:pPr>
      <w:r w:rsidRPr="001452FC">
        <w:rPr>
          <w:rFonts w:ascii="Tempus Sans ITC" w:hAnsi="Tempus Sans ITC" w:cs="Aharoni"/>
          <w:color w:val="000000"/>
          <w:sz w:val="20"/>
          <w:szCs w:val="20"/>
        </w:rPr>
        <w:t xml:space="preserve">Pertanto, il </w:t>
      </w:r>
      <w:r w:rsidRPr="001452FC">
        <w:rPr>
          <w:rFonts w:ascii="Tempus Sans ITC" w:hAnsi="Tempus Sans ITC" w:cs="Aharoni"/>
          <w:b/>
          <w:bCs/>
          <w:color w:val="000000"/>
          <w:sz w:val="20"/>
          <w:szCs w:val="20"/>
        </w:rPr>
        <w:t xml:space="preserve">contenuto minimo ed obbligatorio </w:t>
      </w:r>
      <w:r w:rsidRPr="001452FC">
        <w:rPr>
          <w:rFonts w:ascii="Tempus Sans ITC" w:hAnsi="Tempus Sans ITC" w:cs="Aharoni"/>
          <w:color w:val="000000"/>
          <w:sz w:val="20"/>
          <w:szCs w:val="20"/>
        </w:rPr>
        <w:t>della relazione illustrativa è costituito da:</w:t>
      </w:r>
    </w:p>
    <w:p w:rsidR="00A613BB" w:rsidRPr="001452FC" w:rsidRDefault="00A613BB" w:rsidP="00A613BB">
      <w:pPr>
        <w:pStyle w:val="Paragrafoelenco"/>
        <w:numPr>
          <w:ilvl w:val="1"/>
          <w:numId w:val="3"/>
        </w:numPr>
        <w:tabs>
          <w:tab w:val="num" w:pos="0"/>
        </w:tabs>
        <w:autoSpaceDE w:val="0"/>
        <w:autoSpaceDN w:val="0"/>
        <w:adjustRightInd w:val="0"/>
        <w:spacing w:after="0" w:line="240" w:lineRule="auto"/>
        <w:ind w:left="284" w:hanging="284"/>
        <w:rPr>
          <w:rFonts w:ascii="Tempus Sans ITC" w:hAnsi="Tempus Sans ITC" w:cs="Aharoni"/>
          <w:color w:val="000000"/>
          <w:sz w:val="20"/>
          <w:szCs w:val="20"/>
        </w:rPr>
      </w:pPr>
      <w:r w:rsidRPr="001452FC">
        <w:rPr>
          <w:rFonts w:ascii="Tempus Sans ITC" w:hAnsi="Tempus Sans ITC" w:cs="Aharoni"/>
          <w:color w:val="000000"/>
          <w:sz w:val="20"/>
          <w:szCs w:val="20"/>
        </w:rPr>
        <w:t>Illustrazione di quanto disposto dal contratto integrativo, in modo da fornire un quadro esaustivo della regolamentazione di ogni ambito/materia e delle norme legislative e contrattuali che legittimano la contrattazione integrativa della specifica materia trattata;</w:t>
      </w:r>
    </w:p>
    <w:p w:rsidR="00D450EE" w:rsidRDefault="00D450EE" w:rsidP="00A613BB">
      <w:pPr>
        <w:pStyle w:val="Testo"/>
        <w:rPr>
          <w:b/>
        </w:rPr>
      </w:pPr>
    </w:p>
    <w:p w:rsidR="00A613BB" w:rsidRDefault="00A613BB" w:rsidP="00A613BB">
      <w:pPr>
        <w:pStyle w:val="Testo"/>
        <w:rPr>
          <w:b/>
        </w:rPr>
      </w:pPr>
      <w:r w:rsidRPr="001A5A6A">
        <w:rPr>
          <w:b/>
        </w:rPr>
        <w:t>Premessa:</w:t>
      </w:r>
    </w:p>
    <w:p w:rsidR="009176C0" w:rsidRPr="00712AD4" w:rsidRDefault="009176C0" w:rsidP="009176C0">
      <w:pPr>
        <w:pStyle w:val="Testo"/>
        <w:ind w:firstLine="0"/>
        <w:rPr>
          <w:rFonts w:ascii="Arial" w:hAnsi="Arial" w:cs="Arial"/>
        </w:rPr>
      </w:pPr>
      <w:r w:rsidRPr="00712AD4">
        <w:rPr>
          <w:rFonts w:ascii="Arial" w:hAnsi="Arial" w:cs="Arial"/>
        </w:rPr>
        <w:t>Il 31 luglio 2009 è stato stipulato il Contratto Collettivo Nazionale di Lavoro del personale non dirigente del Comparto Regioni e Autonomie Locali – Quadriennio normativo 2006/2009 – Biennio Economico 2008/2009.</w:t>
      </w:r>
    </w:p>
    <w:p w:rsidR="009176C0" w:rsidRPr="00712AD4" w:rsidRDefault="009176C0" w:rsidP="009176C0">
      <w:pPr>
        <w:pStyle w:val="Testo"/>
        <w:ind w:firstLine="0"/>
        <w:rPr>
          <w:rFonts w:ascii="Arial" w:hAnsi="Arial" w:cs="Arial"/>
        </w:rPr>
      </w:pPr>
      <w:r w:rsidRPr="00712AD4">
        <w:rPr>
          <w:rFonts w:ascii="Arial" w:hAnsi="Arial" w:cs="Arial"/>
        </w:rPr>
        <w:t>Il 3 settembre 2010 è stato stipulato il Contratto Decentrato Integrativo 2010 per il personale dipendente dell’Autorità d’Ambito Ottimale della Sardegna; lo stesso è stato applicato anche per il 2011.</w:t>
      </w:r>
    </w:p>
    <w:p w:rsidR="009176C0" w:rsidRPr="00712AD4" w:rsidRDefault="009176C0" w:rsidP="009176C0">
      <w:pPr>
        <w:pStyle w:val="Testo"/>
        <w:ind w:firstLine="0"/>
        <w:rPr>
          <w:rFonts w:ascii="Arial" w:hAnsi="Arial" w:cs="Arial"/>
        </w:rPr>
      </w:pPr>
      <w:r w:rsidRPr="00712AD4">
        <w:rPr>
          <w:rFonts w:ascii="Arial" w:hAnsi="Arial" w:cs="Arial"/>
        </w:rPr>
        <w:t xml:space="preserve">Il 16 novembre 2012   è stato stipulato il contratto decentrato integrativo 2012 per il personale dipendente dell’Autorità d’Ambito della Sardegna; </w:t>
      </w:r>
    </w:p>
    <w:p w:rsidR="009176C0" w:rsidRPr="00712AD4" w:rsidRDefault="00AC523E" w:rsidP="009176C0">
      <w:pPr>
        <w:pStyle w:val="Testo"/>
        <w:ind w:firstLine="0"/>
        <w:rPr>
          <w:rFonts w:ascii="Arial" w:hAnsi="Arial" w:cs="Arial"/>
        </w:rPr>
      </w:pPr>
      <w:r>
        <w:rPr>
          <w:rFonts w:ascii="Arial" w:hAnsi="Arial" w:cs="Arial"/>
        </w:rPr>
        <w:t xml:space="preserve">l’undici dicembre 2013 è stato siglato il </w:t>
      </w:r>
      <w:r w:rsidR="009176C0" w:rsidRPr="00712AD4">
        <w:rPr>
          <w:rFonts w:ascii="Arial" w:hAnsi="Arial" w:cs="Arial"/>
        </w:rPr>
        <w:t xml:space="preserve">Contratto Decentrato Integrativo per l’anno 2013, che </w:t>
      </w:r>
      <w:r>
        <w:rPr>
          <w:rFonts w:ascii="Arial" w:hAnsi="Arial" w:cs="Arial"/>
        </w:rPr>
        <w:t xml:space="preserve"> troverà applicazione anche per il 2014,</w:t>
      </w:r>
      <w:r w:rsidR="00866BDE">
        <w:rPr>
          <w:rFonts w:ascii="Arial" w:hAnsi="Arial" w:cs="Arial"/>
        </w:rPr>
        <w:t xml:space="preserve"> in base all’articolo 9 ultimo comma,  </w:t>
      </w:r>
      <w:r>
        <w:rPr>
          <w:rFonts w:ascii="Arial" w:hAnsi="Arial" w:cs="Arial"/>
        </w:rPr>
        <w:t xml:space="preserve"> per le parti in regola con le norme di legge.</w:t>
      </w:r>
    </w:p>
    <w:p w:rsidR="009176C0" w:rsidRPr="00712AD4" w:rsidRDefault="009176C0" w:rsidP="009176C0">
      <w:pPr>
        <w:pStyle w:val="Testo"/>
        <w:ind w:firstLine="0"/>
        <w:rPr>
          <w:rFonts w:ascii="Arial" w:hAnsi="Arial" w:cs="Arial"/>
        </w:rPr>
      </w:pPr>
      <w:r w:rsidRPr="00712AD4">
        <w:rPr>
          <w:rFonts w:ascii="Arial" w:hAnsi="Arial" w:cs="Arial"/>
        </w:rPr>
        <w:t>L’ipotesi di contratto predisposto, in relazione alle materie demandate dal C.C.N.L. alla contrattazione decentrata integrativa, ha come obiettivo prioritario sia la valorizzazione del personale, fondata sul miglioramento delle competenze professionali, sia sul contributo individuale apportato da ciascuno al fine di supportare i processi di innovazione, efficienza, efficacia e miglioramento dei servizi erogati dall’Ente.</w:t>
      </w:r>
    </w:p>
    <w:p w:rsidR="009176C0" w:rsidRPr="00712AD4" w:rsidRDefault="009176C0" w:rsidP="009176C0">
      <w:pPr>
        <w:pStyle w:val="Testo"/>
        <w:ind w:firstLine="0"/>
        <w:rPr>
          <w:rFonts w:ascii="Arial" w:hAnsi="Arial" w:cs="Arial"/>
        </w:rPr>
      </w:pPr>
      <w:r w:rsidRPr="00712AD4">
        <w:rPr>
          <w:rFonts w:ascii="Arial" w:hAnsi="Arial" w:cs="Arial"/>
        </w:rPr>
        <w:t>La valorizzazione delle risorse umane si basa</w:t>
      </w:r>
      <w:r>
        <w:rPr>
          <w:rFonts w:ascii="Arial" w:hAnsi="Arial" w:cs="Arial"/>
        </w:rPr>
        <w:t xml:space="preserve"> </w:t>
      </w:r>
      <w:r>
        <w:rPr>
          <w:rFonts w:ascii="Arial" w:hAnsi="Arial" w:cs="Arial"/>
        </w:rPr>
        <w:tab/>
        <w:t xml:space="preserve">quindi </w:t>
      </w:r>
      <w:r w:rsidRPr="00712AD4">
        <w:rPr>
          <w:rFonts w:ascii="Arial" w:hAnsi="Arial" w:cs="Arial"/>
        </w:rPr>
        <w:t>sui seguenti principi:</w:t>
      </w:r>
    </w:p>
    <w:p w:rsidR="009176C0" w:rsidRPr="00712AD4" w:rsidRDefault="009176C0" w:rsidP="0031286F">
      <w:pPr>
        <w:pStyle w:val="Testo"/>
        <w:numPr>
          <w:ilvl w:val="0"/>
          <w:numId w:val="8"/>
        </w:numPr>
        <w:rPr>
          <w:rFonts w:ascii="Arial" w:hAnsi="Arial" w:cs="Arial"/>
        </w:rPr>
      </w:pPr>
      <w:r w:rsidRPr="00712AD4">
        <w:rPr>
          <w:rFonts w:ascii="Arial" w:hAnsi="Arial" w:cs="Arial"/>
        </w:rPr>
        <w:t xml:space="preserve">coinvolgimento di tutti i lavoratori </w:t>
      </w:r>
      <w:r>
        <w:rPr>
          <w:rFonts w:ascii="Arial" w:hAnsi="Arial" w:cs="Arial"/>
        </w:rPr>
        <w:t xml:space="preserve"> </w:t>
      </w:r>
      <w:r w:rsidRPr="00712AD4">
        <w:rPr>
          <w:rFonts w:ascii="Arial" w:hAnsi="Arial" w:cs="Arial"/>
        </w:rPr>
        <w:t>nei processi di miglioramento dell’ente;</w:t>
      </w:r>
    </w:p>
    <w:p w:rsidR="009176C0" w:rsidRPr="00712AD4" w:rsidRDefault="009176C0" w:rsidP="0031286F">
      <w:pPr>
        <w:pStyle w:val="Testo"/>
        <w:numPr>
          <w:ilvl w:val="0"/>
          <w:numId w:val="8"/>
        </w:numPr>
        <w:rPr>
          <w:rFonts w:ascii="Arial" w:hAnsi="Arial" w:cs="Arial"/>
        </w:rPr>
      </w:pPr>
      <w:r w:rsidRPr="00712AD4">
        <w:rPr>
          <w:rFonts w:ascii="Arial" w:hAnsi="Arial" w:cs="Arial"/>
        </w:rPr>
        <w:t xml:space="preserve">riconoscimento delle competenze professionali dei dipendenti quale valore irrinunciabile con la </w:t>
      </w:r>
      <w:r w:rsidRPr="00712AD4">
        <w:rPr>
          <w:rFonts w:ascii="Arial" w:hAnsi="Arial" w:cs="Arial"/>
        </w:rPr>
        <w:lastRenderedPageBreak/>
        <w:t>consapevolezza che la qualità delle prestazioni erogate dall’Amministrazione è in larga misura determinata dalla qualità delle prestazioni dei dipendenti;</w:t>
      </w:r>
    </w:p>
    <w:p w:rsidR="009176C0" w:rsidRPr="00712AD4" w:rsidRDefault="009176C0" w:rsidP="0031286F">
      <w:pPr>
        <w:pStyle w:val="Testo"/>
        <w:numPr>
          <w:ilvl w:val="0"/>
          <w:numId w:val="8"/>
        </w:numPr>
        <w:rPr>
          <w:rFonts w:ascii="Arial" w:hAnsi="Arial" w:cs="Arial"/>
        </w:rPr>
      </w:pPr>
      <w:r w:rsidRPr="00712AD4">
        <w:rPr>
          <w:rFonts w:ascii="Arial" w:hAnsi="Arial" w:cs="Arial"/>
        </w:rPr>
        <w:t>collegamento tra contributi individuali, o di gruppo, e sistema degli incentivi;</w:t>
      </w:r>
    </w:p>
    <w:p w:rsidR="009176C0" w:rsidRPr="00712AD4" w:rsidRDefault="009176C0" w:rsidP="0031286F">
      <w:pPr>
        <w:pStyle w:val="Testo"/>
        <w:numPr>
          <w:ilvl w:val="0"/>
          <w:numId w:val="8"/>
        </w:numPr>
        <w:rPr>
          <w:rFonts w:ascii="Arial" w:hAnsi="Arial" w:cs="Arial"/>
        </w:rPr>
      </w:pPr>
      <w:r w:rsidRPr="00712AD4">
        <w:rPr>
          <w:rFonts w:ascii="Arial" w:hAnsi="Arial" w:cs="Arial"/>
        </w:rPr>
        <w:t xml:space="preserve">differenziazione </w:t>
      </w:r>
      <w:r>
        <w:rPr>
          <w:rFonts w:ascii="Arial" w:hAnsi="Arial" w:cs="Arial"/>
        </w:rPr>
        <w:t xml:space="preserve">della graduazione della </w:t>
      </w:r>
      <w:r w:rsidRPr="00712AD4">
        <w:rPr>
          <w:rFonts w:ascii="Arial" w:hAnsi="Arial" w:cs="Arial"/>
        </w:rPr>
        <w:t>valutazione</w:t>
      </w:r>
      <w:r>
        <w:rPr>
          <w:rFonts w:ascii="Arial" w:hAnsi="Arial" w:cs="Arial"/>
        </w:rPr>
        <w:t xml:space="preserve"> secondo l’apporto individuale di ciascun soggetto.</w:t>
      </w:r>
    </w:p>
    <w:p w:rsidR="009176C0" w:rsidRPr="00712AD4" w:rsidRDefault="009176C0" w:rsidP="009176C0">
      <w:pPr>
        <w:pStyle w:val="Testo"/>
        <w:ind w:firstLine="0"/>
        <w:rPr>
          <w:rFonts w:ascii="Arial" w:hAnsi="Arial" w:cs="Arial"/>
        </w:rPr>
      </w:pPr>
      <w:r w:rsidRPr="00712AD4">
        <w:rPr>
          <w:rFonts w:ascii="Arial" w:hAnsi="Arial" w:cs="Arial"/>
        </w:rPr>
        <w:t xml:space="preserve">Le clausole contenute nell’ipotesi di Contratto Collettivo Decentrato Integrativo si applicano al personale non dirigente </w:t>
      </w:r>
      <w:r>
        <w:rPr>
          <w:rFonts w:ascii="Arial" w:hAnsi="Arial" w:cs="Arial"/>
        </w:rPr>
        <w:t xml:space="preserve">di questo Ente </w:t>
      </w:r>
      <w:r w:rsidRPr="00712AD4">
        <w:rPr>
          <w:rFonts w:ascii="Arial" w:hAnsi="Arial" w:cs="Arial"/>
        </w:rPr>
        <w:t xml:space="preserve">, con rapporto di lavoro a tempo determinato ed indeterminato, per il periodo 1 gennaio 2013 ÷ 31 dicembre 2013; verranno utilizzate le risorse stabili derivanti dalla costituzione del fondo, destinato alla remunerazione delle politiche di sviluppo delle risorse umane e per la produttività. </w:t>
      </w:r>
    </w:p>
    <w:p w:rsidR="009176C0" w:rsidRDefault="009176C0" w:rsidP="009176C0">
      <w:pPr>
        <w:pStyle w:val="Testo"/>
        <w:rPr>
          <w:rFonts w:cs="Arial"/>
          <w:bCs/>
        </w:rPr>
      </w:pPr>
      <w:r>
        <w:rPr>
          <w:rFonts w:cs="Arial"/>
          <w:bCs/>
        </w:rPr>
        <w:t>Il</w:t>
      </w:r>
      <w:r w:rsidRPr="00944821">
        <w:rPr>
          <w:rFonts w:cs="Arial"/>
          <w:bCs/>
        </w:rPr>
        <w:t xml:space="preserve"> </w:t>
      </w:r>
      <w:r w:rsidRPr="009C6073">
        <w:rPr>
          <w:rFonts w:cs="Arial"/>
          <w:bCs/>
        </w:rPr>
        <w:t>6 Dicembre 2013</w:t>
      </w:r>
      <w:r>
        <w:rPr>
          <w:rFonts w:cs="Arial"/>
          <w:bCs/>
        </w:rPr>
        <w:t xml:space="preserve"> </w:t>
      </w:r>
      <w:r>
        <w:t>le delegazioni trattanti di parte pubblica e di parte sindacale hanno esaminato e sottoscritto l’ipotesi di Contratto Collettivo Decentrato Integrativo</w:t>
      </w:r>
      <w:r w:rsidRPr="00944821">
        <w:rPr>
          <w:rFonts w:cs="Arial"/>
          <w:bCs/>
        </w:rPr>
        <w:t xml:space="preserve"> per l’</w:t>
      </w:r>
      <w:r>
        <w:rPr>
          <w:rFonts w:cs="Arial"/>
          <w:bCs/>
        </w:rPr>
        <w:t>anno</w:t>
      </w:r>
      <w:r w:rsidRPr="00944821">
        <w:rPr>
          <w:rFonts w:cs="Arial"/>
          <w:bCs/>
        </w:rPr>
        <w:t xml:space="preserve"> 201</w:t>
      </w:r>
      <w:r>
        <w:rPr>
          <w:rFonts w:cs="Arial"/>
          <w:bCs/>
        </w:rPr>
        <w:t>3.</w:t>
      </w:r>
    </w:p>
    <w:p w:rsidR="009176C0" w:rsidRPr="007D2BD0" w:rsidRDefault="009176C0" w:rsidP="009176C0">
      <w:pPr>
        <w:pStyle w:val="Testo"/>
        <w:rPr>
          <w:rFonts w:cs="Arial"/>
          <w:bCs/>
        </w:rPr>
      </w:pPr>
      <w:r>
        <w:rPr>
          <w:rFonts w:cs="Arial"/>
          <w:bCs/>
        </w:rPr>
        <w:t xml:space="preserve">Il </w:t>
      </w:r>
      <w:r w:rsidRPr="007D2BD0">
        <w:rPr>
          <w:rFonts w:cs="Arial"/>
          <w:bCs/>
        </w:rPr>
        <w:t>Presidente della Delegazione Trattante di Parte Pubblica</w:t>
      </w:r>
      <w:r>
        <w:rPr>
          <w:rFonts w:cs="Arial"/>
          <w:bCs/>
        </w:rPr>
        <w:t xml:space="preserve"> è stato autorizzato </w:t>
      </w:r>
      <w:r w:rsidRPr="007D2BD0">
        <w:rPr>
          <w:rFonts w:cs="Arial"/>
          <w:bCs/>
        </w:rPr>
        <w:t>alla sottoscrizione del Contratto Collettivo Decentrato Integrativo per l’anno 201</w:t>
      </w:r>
      <w:r>
        <w:rPr>
          <w:rFonts w:cs="Arial"/>
          <w:bCs/>
        </w:rPr>
        <w:t>3</w:t>
      </w:r>
      <w:r w:rsidRPr="007D2BD0">
        <w:rPr>
          <w:rFonts w:cs="Arial"/>
          <w:bCs/>
        </w:rPr>
        <w:t xml:space="preserve"> </w:t>
      </w:r>
      <w:r>
        <w:rPr>
          <w:rFonts w:cs="Arial"/>
          <w:bCs/>
        </w:rPr>
        <w:t xml:space="preserve">con Deliberazione del Commissario </w:t>
      </w:r>
      <w:r w:rsidRPr="009C6073">
        <w:rPr>
          <w:rFonts w:cs="Arial"/>
          <w:bCs/>
        </w:rPr>
        <w:t xml:space="preserve">n°40 del </w:t>
      </w:r>
      <w:r>
        <w:rPr>
          <w:rFonts w:cs="Arial"/>
          <w:bCs/>
        </w:rPr>
        <w:t>10</w:t>
      </w:r>
      <w:r w:rsidRPr="009C6073">
        <w:rPr>
          <w:rFonts w:cs="Arial"/>
          <w:bCs/>
        </w:rPr>
        <w:t xml:space="preserve"> Dicembre</w:t>
      </w:r>
      <w:r>
        <w:rPr>
          <w:rFonts w:cs="Arial"/>
          <w:bCs/>
        </w:rPr>
        <w:t xml:space="preserve"> 2013  </w:t>
      </w:r>
      <w:r w:rsidRPr="007D2BD0">
        <w:rPr>
          <w:rFonts w:cs="Arial"/>
          <w:bCs/>
        </w:rPr>
        <w:t xml:space="preserve">in conformità con l’ipotesi di C.C.D.I. sottoscritta </w:t>
      </w:r>
      <w:r w:rsidRPr="009C6073">
        <w:rPr>
          <w:rFonts w:cs="Arial"/>
          <w:bCs/>
        </w:rPr>
        <w:t>il 6 dicembre 2013</w:t>
      </w:r>
      <w:r>
        <w:rPr>
          <w:rFonts w:cs="Arial"/>
          <w:bCs/>
        </w:rPr>
        <w:t>.</w:t>
      </w:r>
    </w:p>
    <w:p w:rsidR="009176C0" w:rsidRPr="001A5A6A" w:rsidRDefault="009176C0" w:rsidP="00A613BB">
      <w:pPr>
        <w:pStyle w:val="Testo"/>
        <w:rPr>
          <w:b/>
        </w:rPr>
      </w:pPr>
    </w:p>
    <w:p w:rsidR="00A613BB" w:rsidRPr="0031286F" w:rsidRDefault="00A613BB" w:rsidP="0031286F">
      <w:pPr>
        <w:pStyle w:val="Testo"/>
        <w:spacing w:line="240" w:lineRule="auto"/>
        <w:ind w:firstLine="0"/>
        <w:rPr>
          <w:rFonts w:ascii="Arial" w:hAnsi="Arial" w:cs="Arial"/>
        </w:rPr>
      </w:pPr>
      <w:r w:rsidRPr="0031286F">
        <w:rPr>
          <w:rFonts w:ascii="Arial" w:hAnsi="Arial" w:cs="Arial"/>
        </w:rPr>
        <w:t>Il Fondo risorse decentrate disponibili per l’anno 201</w:t>
      </w:r>
      <w:r w:rsidR="00866BDE">
        <w:rPr>
          <w:rFonts w:ascii="Arial" w:hAnsi="Arial" w:cs="Arial"/>
        </w:rPr>
        <w:t>4</w:t>
      </w:r>
      <w:r w:rsidRPr="0031286F">
        <w:rPr>
          <w:rFonts w:ascii="Arial" w:hAnsi="Arial" w:cs="Arial"/>
        </w:rPr>
        <w:t xml:space="preserve"> sono riportate nell’allegato seguente:</w:t>
      </w:r>
    </w:p>
    <w:tbl>
      <w:tblPr>
        <w:tblpPr w:leftFromText="141" w:rightFromText="141" w:vertAnchor="text" w:horzAnchor="page" w:tblpX="1821" w:tblpY="316"/>
        <w:tblW w:w="7300" w:type="dxa"/>
        <w:tblCellMar>
          <w:left w:w="70" w:type="dxa"/>
          <w:right w:w="70" w:type="dxa"/>
        </w:tblCellMar>
        <w:tblLook w:val="04A0" w:firstRow="1" w:lastRow="0" w:firstColumn="1" w:lastColumn="0" w:noHBand="0" w:noVBand="1"/>
      </w:tblPr>
      <w:tblGrid>
        <w:gridCol w:w="4465"/>
        <w:gridCol w:w="1701"/>
        <w:gridCol w:w="1134"/>
      </w:tblGrid>
      <w:tr w:rsidR="00A613BB" w:rsidRPr="0031286F" w:rsidTr="000C4B28">
        <w:trPr>
          <w:trHeight w:val="300"/>
        </w:trPr>
        <w:tc>
          <w:tcPr>
            <w:tcW w:w="7300" w:type="dxa"/>
            <w:gridSpan w:val="3"/>
            <w:tcBorders>
              <w:top w:val="nil"/>
              <w:left w:val="nil"/>
              <w:bottom w:val="nil"/>
              <w:right w:val="nil"/>
            </w:tcBorders>
            <w:shd w:val="clear" w:color="000000" w:fill="FFFF99"/>
            <w:noWrap/>
            <w:vAlign w:val="center"/>
            <w:hideMark/>
          </w:tcPr>
          <w:p w:rsidR="00A613BB" w:rsidRPr="0031286F" w:rsidRDefault="00A613BB" w:rsidP="0079734C">
            <w:pPr>
              <w:spacing w:after="0" w:line="240" w:lineRule="auto"/>
              <w:jc w:val="center"/>
              <w:rPr>
                <w:rFonts w:ascii="Arial" w:eastAsia="Times New Roman" w:hAnsi="Arial" w:cs="Arial"/>
                <w:b/>
                <w:bCs/>
                <w:color w:val="000000"/>
                <w:sz w:val="16"/>
                <w:szCs w:val="16"/>
                <w:lang w:eastAsia="it-IT"/>
              </w:rPr>
            </w:pPr>
            <w:r w:rsidRPr="0031286F">
              <w:rPr>
                <w:rFonts w:ascii="Arial" w:eastAsia="Times New Roman" w:hAnsi="Arial" w:cs="Arial"/>
                <w:b/>
                <w:bCs/>
                <w:color w:val="000000"/>
                <w:sz w:val="16"/>
                <w:szCs w:val="16"/>
                <w:lang w:eastAsia="it-IT"/>
              </w:rPr>
              <w:t>FONDO RISORSE DECENTRATE ANNO 201</w:t>
            </w:r>
            <w:r w:rsidR="0079734C" w:rsidRPr="0031286F">
              <w:rPr>
                <w:rFonts w:ascii="Arial" w:eastAsia="Times New Roman" w:hAnsi="Arial" w:cs="Arial"/>
                <w:b/>
                <w:bCs/>
                <w:color w:val="000000"/>
                <w:sz w:val="16"/>
                <w:szCs w:val="16"/>
                <w:lang w:eastAsia="it-IT"/>
              </w:rPr>
              <w:t>3</w:t>
            </w: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b/>
                <w:color w:val="000000"/>
                <w:sz w:val="16"/>
                <w:szCs w:val="16"/>
                <w:lang w:eastAsia="it-IT"/>
              </w:rPr>
            </w:pPr>
            <w:r w:rsidRPr="0031286F">
              <w:rPr>
                <w:rFonts w:ascii="Arial" w:eastAsia="Times New Roman" w:hAnsi="Arial" w:cs="Arial"/>
                <w:b/>
                <w:color w:val="000000"/>
                <w:sz w:val="16"/>
                <w:szCs w:val="16"/>
                <w:lang w:eastAsia="it-IT"/>
              </w:rPr>
              <w:t>Fondo stabile:</w:t>
            </w: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cantSplit/>
          <w:trHeight w:val="405"/>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articolo 15, comma 1, lett.a)</w:t>
            </w:r>
            <w:r w:rsidR="009176C0" w:rsidRPr="0031286F">
              <w:rPr>
                <w:rFonts w:ascii="Arial" w:eastAsia="Times New Roman" w:hAnsi="Arial" w:cs="Arial"/>
                <w:color w:val="000000"/>
                <w:sz w:val="16"/>
                <w:szCs w:val="16"/>
                <w:lang w:eastAsia="it-IT"/>
              </w:rPr>
              <w:t xml:space="preserve"> e comma 5 </w:t>
            </w:r>
            <w:r w:rsidRPr="0031286F">
              <w:rPr>
                <w:rFonts w:ascii="Arial" w:eastAsia="Times New Roman" w:hAnsi="Arial" w:cs="Arial"/>
                <w:color w:val="000000"/>
                <w:sz w:val="16"/>
                <w:szCs w:val="16"/>
                <w:lang w:eastAsia="it-IT"/>
              </w:rPr>
              <w:t xml:space="preserve"> CCNL 01/04/1999</w:t>
            </w:r>
          </w:p>
        </w:tc>
        <w:tc>
          <w:tcPr>
            <w:tcW w:w="1701" w:type="dxa"/>
            <w:tcBorders>
              <w:top w:val="nil"/>
              <w:left w:val="nil"/>
              <w:bottom w:val="nil"/>
              <w:right w:val="nil"/>
            </w:tcBorders>
            <w:shd w:val="clear" w:color="auto" w:fill="auto"/>
            <w:noWrap/>
            <w:vAlign w:val="center"/>
            <w:hideMark/>
          </w:tcPr>
          <w:p w:rsidR="00A613BB" w:rsidRPr="0031286F" w:rsidRDefault="009176C0" w:rsidP="009176C0">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51.323,72</w:t>
            </w:r>
            <w:r w:rsidR="00A613BB" w:rsidRPr="0031286F">
              <w:rPr>
                <w:rFonts w:ascii="Arial" w:eastAsia="Times New Roman" w:hAnsi="Arial" w:cs="Arial"/>
                <w:color w:val="000000"/>
                <w:sz w:val="16"/>
                <w:szCs w:val="16"/>
                <w:lang w:eastAsia="it-IT"/>
              </w:rPr>
              <w:t xml:space="preserve"> </w:t>
            </w: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trHeight w:val="405"/>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xml:space="preserve">Retribuzione di posizione e risultato DCE n°54/2007   </w:t>
            </w:r>
          </w:p>
        </w:tc>
        <w:tc>
          <w:tcPr>
            <w:tcW w:w="1701" w:type="dxa"/>
            <w:tcBorders>
              <w:top w:val="nil"/>
              <w:left w:val="nil"/>
              <w:bottom w:val="single" w:sz="4" w:space="0" w:color="auto"/>
              <w:right w:val="nil"/>
            </w:tcBorders>
            <w:shd w:val="clear" w:color="auto" w:fill="auto"/>
            <w:noWrap/>
            <w:vAlign w:val="center"/>
            <w:hideMark/>
          </w:tcPr>
          <w:p w:rsidR="00A613BB" w:rsidRPr="0031286F" w:rsidRDefault="00A613BB"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€ 35.000,00</w:t>
            </w:r>
          </w:p>
        </w:tc>
        <w:tc>
          <w:tcPr>
            <w:tcW w:w="1134" w:type="dxa"/>
            <w:tcBorders>
              <w:top w:val="nil"/>
              <w:left w:val="nil"/>
              <w:bottom w:val="single" w:sz="4" w:space="0" w:color="auto"/>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w:t>
            </w:r>
          </w:p>
        </w:tc>
      </w:tr>
      <w:tr w:rsidR="00A613BB" w:rsidRPr="0031286F" w:rsidTr="000C4B28">
        <w:trPr>
          <w:trHeight w:val="405"/>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totale</w:t>
            </w: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xml:space="preserve">86.323,72 </w:t>
            </w: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Economie</w:t>
            </w: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xml:space="preserve">0,00 </w:t>
            </w:r>
          </w:p>
        </w:tc>
      </w:tr>
      <w:tr w:rsidR="00A613BB" w:rsidRPr="0031286F" w:rsidTr="000C4B28">
        <w:trPr>
          <w:cantSplit/>
          <w:trHeight w:val="300"/>
        </w:trPr>
        <w:tc>
          <w:tcPr>
            <w:tcW w:w="4465" w:type="dxa"/>
            <w:tcBorders>
              <w:top w:val="nil"/>
              <w:left w:val="nil"/>
              <w:bottom w:val="nil"/>
              <w:right w:val="nil"/>
            </w:tcBorders>
            <w:shd w:val="clear" w:color="auto" w:fill="FFFF00"/>
            <w:noWrap/>
            <w:vAlign w:val="center"/>
            <w:hideMark/>
          </w:tcPr>
          <w:p w:rsidR="00A613BB" w:rsidRPr="004136BD" w:rsidRDefault="00A613BB" w:rsidP="000C4B28">
            <w:pPr>
              <w:spacing w:after="0" w:line="240" w:lineRule="auto"/>
              <w:rPr>
                <w:rFonts w:ascii="Arial" w:eastAsia="Times New Roman" w:hAnsi="Arial" w:cs="Arial"/>
                <w:b/>
                <w:color w:val="000000"/>
                <w:sz w:val="16"/>
                <w:szCs w:val="16"/>
                <w:lang w:eastAsia="it-IT"/>
              </w:rPr>
            </w:pPr>
            <w:r w:rsidRPr="004136BD">
              <w:rPr>
                <w:rFonts w:ascii="Arial" w:eastAsia="Times New Roman" w:hAnsi="Arial" w:cs="Arial"/>
                <w:b/>
                <w:color w:val="000000"/>
                <w:sz w:val="16"/>
                <w:szCs w:val="16"/>
                <w:lang w:eastAsia="it-IT"/>
              </w:rPr>
              <w:t xml:space="preserve">Totale Fondo </w:t>
            </w:r>
          </w:p>
        </w:tc>
        <w:tc>
          <w:tcPr>
            <w:tcW w:w="1701" w:type="dxa"/>
            <w:tcBorders>
              <w:top w:val="nil"/>
              <w:left w:val="nil"/>
              <w:bottom w:val="nil"/>
              <w:right w:val="nil"/>
            </w:tcBorders>
            <w:shd w:val="clear" w:color="auto" w:fill="FFFF00"/>
            <w:noWrap/>
            <w:vAlign w:val="center"/>
            <w:hideMark/>
          </w:tcPr>
          <w:p w:rsidR="00A613BB" w:rsidRPr="004136BD" w:rsidRDefault="00A613BB" w:rsidP="000C4B28">
            <w:pPr>
              <w:spacing w:after="0" w:line="240" w:lineRule="auto"/>
              <w:rPr>
                <w:rFonts w:ascii="Arial" w:eastAsia="Times New Roman" w:hAnsi="Arial" w:cs="Arial"/>
                <w:b/>
                <w:color w:val="000000"/>
                <w:sz w:val="16"/>
                <w:szCs w:val="16"/>
                <w:lang w:eastAsia="it-IT"/>
              </w:rPr>
            </w:pPr>
          </w:p>
        </w:tc>
        <w:tc>
          <w:tcPr>
            <w:tcW w:w="1134" w:type="dxa"/>
            <w:tcBorders>
              <w:top w:val="nil"/>
              <w:left w:val="nil"/>
              <w:bottom w:val="nil"/>
              <w:right w:val="nil"/>
            </w:tcBorders>
            <w:shd w:val="clear" w:color="auto" w:fill="FFFF00"/>
            <w:noWrap/>
            <w:vAlign w:val="center"/>
            <w:hideMark/>
          </w:tcPr>
          <w:p w:rsidR="00A613BB" w:rsidRPr="004136BD" w:rsidRDefault="00A613BB" w:rsidP="000C4B28">
            <w:pPr>
              <w:spacing w:after="0" w:line="240" w:lineRule="auto"/>
              <w:jc w:val="right"/>
              <w:rPr>
                <w:rFonts w:ascii="Arial" w:eastAsia="Times New Roman" w:hAnsi="Arial" w:cs="Arial"/>
                <w:b/>
                <w:color w:val="000000"/>
                <w:sz w:val="16"/>
                <w:szCs w:val="16"/>
                <w:lang w:eastAsia="it-IT"/>
              </w:rPr>
            </w:pPr>
            <w:r w:rsidRPr="004136BD">
              <w:rPr>
                <w:rFonts w:ascii="Arial" w:eastAsia="Times New Roman" w:hAnsi="Arial" w:cs="Arial"/>
                <w:b/>
                <w:color w:val="000000"/>
                <w:sz w:val="16"/>
                <w:szCs w:val="16"/>
                <w:lang w:eastAsia="it-IT"/>
              </w:rPr>
              <w:t xml:space="preserve">86.323,72 </w:t>
            </w:r>
          </w:p>
        </w:tc>
      </w:tr>
      <w:tr w:rsidR="00A613BB" w:rsidRPr="0031286F" w:rsidTr="000C4B28">
        <w:trPr>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b/>
                <w:color w:val="000000"/>
                <w:sz w:val="16"/>
                <w:szCs w:val="16"/>
                <w:lang w:eastAsia="it-IT"/>
              </w:rPr>
            </w:pPr>
            <w:r w:rsidRPr="0031286F">
              <w:rPr>
                <w:rFonts w:ascii="Arial" w:eastAsia="Times New Roman" w:hAnsi="Arial" w:cs="Arial"/>
                <w:color w:val="000000"/>
                <w:sz w:val="16"/>
                <w:szCs w:val="16"/>
                <w:lang w:eastAsia="it-IT"/>
              </w:rPr>
              <w:t xml:space="preserve"> </w:t>
            </w:r>
            <w:r w:rsidRPr="0031286F">
              <w:rPr>
                <w:rFonts w:ascii="Arial" w:eastAsia="Times New Roman" w:hAnsi="Arial" w:cs="Arial"/>
                <w:b/>
                <w:color w:val="000000"/>
                <w:sz w:val="16"/>
                <w:szCs w:val="16"/>
                <w:lang w:eastAsia="it-IT"/>
              </w:rPr>
              <w:t>Previsione utilizzo fondo:</w:t>
            </w: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Comparto</w:t>
            </w: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5.661,00</w:t>
            </w: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PEO</w:t>
            </w: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xml:space="preserve">6.347,77 </w:t>
            </w: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xml:space="preserve">Retribuzione di posizione e risultato DCE n°54/2007   </w:t>
            </w:r>
          </w:p>
        </w:tc>
        <w:tc>
          <w:tcPr>
            <w:tcW w:w="1701" w:type="dxa"/>
            <w:tcBorders>
              <w:top w:val="nil"/>
              <w:left w:val="nil"/>
              <w:bottom w:val="single" w:sz="4" w:space="0" w:color="auto"/>
              <w:right w:val="nil"/>
            </w:tcBorders>
            <w:shd w:val="clear" w:color="auto" w:fill="auto"/>
            <w:noWrap/>
            <w:vAlign w:val="center"/>
            <w:hideMark/>
          </w:tcPr>
          <w:p w:rsidR="00A613BB" w:rsidRPr="0031286F" w:rsidRDefault="00A613BB"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xml:space="preserve">35.000,00 </w:t>
            </w:r>
          </w:p>
        </w:tc>
        <w:tc>
          <w:tcPr>
            <w:tcW w:w="1134" w:type="dxa"/>
            <w:tcBorders>
              <w:top w:val="nil"/>
              <w:left w:val="nil"/>
              <w:bottom w:val="single" w:sz="4" w:space="0" w:color="auto"/>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w:t>
            </w: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xml:space="preserve">47.008,77 </w:t>
            </w: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Responsabilità</w:t>
            </w:r>
          </w:p>
        </w:tc>
        <w:tc>
          <w:tcPr>
            <w:tcW w:w="1701" w:type="dxa"/>
            <w:tcBorders>
              <w:top w:val="nil"/>
              <w:left w:val="nil"/>
              <w:bottom w:val="nil"/>
              <w:right w:val="nil"/>
            </w:tcBorders>
            <w:shd w:val="clear" w:color="auto" w:fill="auto"/>
            <w:noWrap/>
            <w:vAlign w:val="center"/>
            <w:hideMark/>
          </w:tcPr>
          <w:p w:rsidR="00A613BB" w:rsidRPr="0031286F" w:rsidRDefault="00A613BB" w:rsidP="009176C0">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1</w:t>
            </w:r>
            <w:r w:rsidR="009176C0" w:rsidRPr="0031286F">
              <w:rPr>
                <w:rFonts w:ascii="Arial" w:eastAsia="Times New Roman" w:hAnsi="Arial" w:cs="Arial"/>
                <w:color w:val="000000"/>
                <w:sz w:val="16"/>
                <w:szCs w:val="16"/>
                <w:lang w:eastAsia="it-IT"/>
              </w:rPr>
              <w:t>8.625,00</w:t>
            </w:r>
            <w:r w:rsidRPr="0031286F">
              <w:rPr>
                <w:rFonts w:ascii="Arial" w:eastAsia="Times New Roman" w:hAnsi="Arial" w:cs="Arial"/>
                <w:color w:val="000000"/>
                <w:sz w:val="16"/>
                <w:szCs w:val="16"/>
                <w:lang w:eastAsia="it-IT"/>
              </w:rPr>
              <w:t xml:space="preserve"> </w:t>
            </w: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Maneggio valori</w:t>
            </w: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xml:space="preserve">329,56 </w:t>
            </w: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Produttività</w:t>
            </w:r>
          </w:p>
        </w:tc>
        <w:tc>
          <w:tcPr>
            <w:tcW w:w="1701" w:type="dxa"/>
            <w:tcBorders>
              <w:top w:val="nil"/>
              <w:left w:val="nil"/>
              <w:bottom w:val="nil"/>
              <w:right w:val="nil"/>
            </w:tcBorders>
            <w:shd w:val="clear" w:color="auto" w:fill="auto"/>
            <w:noWrap/>
            <w:vAlign w:val="center"/>
            <w:hideMark/>
          </w:tcPr>
          <w:p w:rsidR="00A613BB" w:rsidRPr="0031286F" w:rsidRDefault="009176C0"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9.960,00</w:t>
            </w:r>
            <w:r w:rsidR="00A613BB" w:rsidRPr="0031286F">
              <w:rPr>
                <w:rFonts w:ascii="Arial" w:eastAsia="Times New Roman" w:hAnsi="Arial" w:cs="Arial"/>
                <w:color w:val="000000"/>
                <w:sz w:val="16"/>
                <w:szCs w:val="16"/>
                <w:lang w:eastAsia="it-IT"/>
              </w:rPr>
              <w:t xml:space="preserve"> </w:t>
            </w:r>
          </w:p>
        </w:tc>
        <w:tc>
          <w:tcPr>
            <w:tcW w:w="1134"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Articolo15, comma 5</w:t>
            </w:r>
          </w:p>
        </w:tc>
        <w:tc>
          <w:tcPr>
            <w:tcW w:w="1701" w:type="dxa"/>
            <w:tcBorders>
              <w:top w:val="nil"/>
              <w:left w:val="nil"/>
              <w:bottom w:val="single" w:sz="4" w:space="0" w:color="auto"/>
              <w:right w:val="nil"/>
            </w:tcBorders>
            <w:shd w:val="clear" w:color="auto" w:fill="auto"/>
            <w:noWrap/>
            <w:vAlign w:val="center"/>
            <w:hideMark/>
          </w:tcPr>
          <w:p w:rsidR="00A613BB" w:rsidRPr="0031286F" w:rsidRDefault="009176C0" w:rsidP="000C4B28">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10.400,00</w:t>
            </w:r>
            <w:r w:rsidR="00A613BB" w:rsidRPr="0031286F">
              <w:rPr>
                <w:rFonts w:ascii="Arial" w:eastAsia="Times New Roman" w:hAnsi="Arial" w:cs="Arial"/>
                <w:color w:val="000000"/>
                <w:sz w:val="16"/>
                <w:szCs w:val="16"/>
                <w:lang w:eastAsia="it-IT"/>
              </w:rPr>
              <w:t xml:space="preserve"> </w:t>
            </w:r>
          </w:p>
        </w:tc>
        <w:tc>
          <w:tcPr>
            <w:tcW w:w="1134" w:type="dxa"/>
            <w:tcBorders>
              <w:top w:val="nil"/>
              <w:left w:val="nil"/>
              <w:bottom w:val="single" w:sz="4" w:space="0" w:color="auto"/>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 </w:t>
            </w: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134" w:type="dxa"/>
            <w:tcBorders>
              <w:top w:val="nil"/>
              <w:left w:val="nil"/>
              <w:bottom w:val="nil"/>
              <w:right w:val="nil"/>
            </w:tcBorders>
            <w:shd w:val="clear" w:color="auto" w:fill="auto"/>
            <w:noWrap/>
            <w:vAlign w:val="center"/>
            <w:hideMark/>
          </w:tcPr>
          <w:p w:rsidR="00A613BB" w:rsidRPr="0031286F" w:rsidRDefault="00A613BB" w:rsidP="009176C0">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39.314,</w:t>
            </w:r>
            <w:r w:rsidR="009176C0" w:rsidRPr="0031286F">
              <w:rPr>
                <w:rFonts w:ascii="Arial" w:eastAsia="Times New Roman" w:hAnsi="Arial" w:cs="Arial"/>
                <w:color w:val="000000"/>
                <w:sz w:val="16"/>
                <w:szCs w:val="16"/>
                <w:lang w:eastAsia="it-IT"/>
              </w:rPr>
              <w:t>56</w:t>
            </w:r>
            <w:r w:rsidRPr="0031286F">
              <w:rPr>
                <w:rFonts w:ascii="Arial" w:eastAsia="Times New Roman" w:hAnsi="Arial" w:cs="Arial"/>
                <w:color w:val="000000"/>
                <w:sz w:val="16"/>
                <w:szCs w:val="16"/>
                <w:lang w:eastAsia="it-IT"/>
              </w:rPr>
              <w:t xml:space="preserve"> </w:t>
            </w:r>
          </w:p>
        </w:tc>
      </w:tr>
      <w:tr w:rsidR="00A613BB" w:rsidRPr="0031286F" w:rsidTr="000C4B28">
        <w:trPr>
          <w:cantSplit/>
          <w:trHeight w:val="300"/>
        </w:trPr>
        <w:tc>
          <w:tcPr>
            <w:tcW w:w="4465" w:type="dxa"/>
            <w:tcBorders>
              <w:top w:val="nil"/>
              <w:left w:val="nil"/>
              <w:bottom w:val="nil"/>
              <w:right w:val="nil"/>
            </w:tcBorders>
            <w:shd w:val="clear" w:color="auto" w:fill="FFFF00"/>
            <w:noWrap/>
            <w:vAlign w:val="center"/>
            <w:hideMark/>
          </w:tcPr>
          <w:p w:rsidR="00A613BB" w:rsidRPr="0031286F" w:rsidRDefault="00A613BB" w:rsidP="000C4B28">
            <w:pPr>
              <w:spacing w:after="0" w:line="240" w:lineRule="auto"/>
              <w:rPr>
                <w:rFonts w:ascii="Arial" w:eastAsia="Times New Roman" w:hAnsi="Arial" w:cs="Arial"/>
                <w:b/>
                <w:color w:val="000000"/>
                <w:sz w:val="16"/>
                <w:szCs w:val="16"/>
                <w:lang w:eastAsia="it-IT"/>
              </w:rPr>
            </w:pPr>
            <w:r w:rsidRPr="0031286F">
              <w:rPr>
                <w:rFonts w:ascii="Arial" w:eastAsia="Times New Roman" w:hAnsi="Arial" w:cs="Arial"/>
                <w:b/>
                <w:color w:val="000000"/>
                <w:sz w:val="16"/>
                <w:szCs w:val="16"/>
                <w:lang w:eastAsia="it-IT"/>
              </w:rPr>
              <w:t>Totale spesa prevista</w:t>
            </w:r>
          </w:p>
        </w:tc>
        <w:tc>
          <w:tcPr>
            <w:tcW w:w="1701" w:type="dxa"/>
            <w:tcBorders>
              <w:top w:val="nil"/>
              <w:left w:val="nil"/>
              <w:bottom w:val="nil"/>
              <w:right w:val="nil"/>
            </w:tcBorders>
            <w:shd w:val="clear" w:color="auto" w:fill="FFFF00"/>
            <w:noWrap/>
            <w:vAlign w:val="center"/>
            <w:hideMark/>
          </w:tcPr>
          <w:p w:rsidR="00A613BB" w:rsidRPr="0031286F" w:rsidRDefault="00A613BB" w:rsidP="000C4B28">
            <w:pPr>
              <w:spacing w:after="0" w:line="240" w:lineRule="auto"/>
              <w:rPr>
                <w:rFonts w:ascii="Arial" w:eastAsia="Times New Roman" w:hAnsi="Arial" w:cs="Arial"/>
                <w:b/>
                <w:color w:val="000000"/>
                <w:sz w:val="16"/>
                <w:szCs w:val="16"/>
                <w:lang w:eastAsia="it-IT"/>
              </w:rPr>
            </w:pPr>
          </w:p>
        </w:tc>
        <w:tc>
          <w:tcPr>
            <w:tcW w:w="1134" w:type="dxa"/>
            <w:tcBorders>
              <w:top w:val="nil"/>
              <w:left w:val="nil"/>
              <w:bottom w:val="nil"/>
              <w:right w:val="nil"/>
            </w:tcBorders>
            <w:shd w:val="clear" w:color="auto" w:fill="FFFF00"/>
            <w:noWrap/>
            <w:vAlign w:val="center"/>
            <w:hideMark/>
          </w:tcPr>
          <w:p w:rsidR="00A613BB" w:rsidRPr="0031286F" w:rsidRDefault="00A613BB" w:rsidP="009176C0">
            <w:pPr>
              <w:spacing w:after="0" w:line="240" w:lineRule="auto"/>
              <w:jc w:val="right"/>
              <w:rPr>
                <w:rFonts w:ascii="Arial" w:eastAsia="Times New Roman" w:hAnsi="Arial" w:cs="Arial"/>
                <w:b/>
                <w:color w:val="000000"/>
                <w:sz w:val="16"/>
                <w:szCs w:val="16"/>
                <w:lang w:eastAsia="it-IT"/>
              </w:rPr>
            </w:pPr>
            <w:r w:rsidRPr="0031286F">
              <w:rPr>
                <w:rFonts w:ascii="Arial" w:eastAsia="Times New Roman" w:hAnsi="Arial" w:cs="Arial"/>
                <w:b/>
                <w:color w:val="000000"/>
                <w:sz w:val="16"/>
                <w:szCs w:val="16"/>
                <w:lang w:eastAsia="it-IT"/>
              </w:rPr>
              <w:t>86.323,</w:t>
            </w:r>
            <w:r w:rsidR="009176C0" w:rsidRPr="0031286F">
              <w:rPr>
                <w:rFonts w:ascii="Arial" w:eastAsia="Times New Roman" w:hAnsi="Arial" w:cs="Arial"/>
                <w:b/>
                <w:color w:val="000000"/>
                <w:sz w:val="16"/>
                <w:szCs w:val="16"/>
                <w:lang w:eastAsia="it-IT"/>
              </w:rPr>
              <w:t>33</w:t>
            </w:r>
            <w:r w:rsidRPr="0031286F">
              <w:rPr>
                <w:rFonts w:ascii="Arial" w:eastAsia="Times New Roman" w:hAnsi="Arial" w:cs="Arial"/>
                <w:b/>
                <w:color w:val="000000"/>
                <w:sz w:val="16"/>
                <w:szCs w:val="16"/>
                <w:lang w:eastAsia="it-IT"/>
              </w:rPr>
              <w:t xml:space="preserve"> </w:t>
            </w:r>
          </w:p>
        </w:tc>
      </w:tr>
      <w:tr w:rsidR="00A613BB" w:rsidRPr="0031286F" w:rsidTr="000C4B28">
        <w:trPr>
          <w:cantSplit/>
          <w:trHeight w:val="300"/>
        </w:trPr>
        <w:tc>
          <w:tcPr>
            <w:tcW w:w="4465"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Disponibilità Residua</w:t>
            </w:r>
          </w:p>
        </w:tc>
        <w:tc>
          <w:tcPr>
            <w:tcW w:w="1701" w:type="dxa"/>
            <w:tcBorders>
              <w:top w:val="nil"/>
              <w:left w:val="nil"/>
              <w:bottom w:val="nil"/>
              <w:right w:val="nil"/>
            </w:tcBorders>
            <w:shd w:val="clear" w:color="auto" w:fill="auto"/>
            <w:noWrap/>
            <w:vAlign w:val="center"/>
            <w:hideMark/>
          </w:tcPr>
          <w:p w:rsidR="00A613BB" w:rsidRPr="0031286F" w:rsidRDefault="00A613BB" w:rsidP="000C4B28">
            <w:pPr>
              <w:spacing w:after="0" w:line="240" w:lineRule="auto"/>
              <w:rPr>
                <w:rFonts w:ascii="Arial" w:eastAsia="Times New Roman" w:hAnsi="Arial" w:cs="Arial"/>
                <w:color w:val="000000"/>
                <w:sz w:val="16"/>
                <w:szCs w:val="16"/>
                <w:lang w:eastAsia="it-IT"/>
              </w:rPr>
            </w:pPr>
          </w:p>
        </w:tc>
        <w:tc>
          <w:tcPr>
            <w:tcW w:w="1134" w:type="dxa"/>
            <w:tcBorders>
              <w:top w:val="nil"/>
              <w:left w:val="nil"/>
              <w:bottom w:val="nil"/>
              <w:right w:val="nil"/>
            </w:tcBorders>
            <w:shd w:val="clear" w:color="auto" w:fill="auto"/>
            <w:noWrap/>
            <w:vAlign w:val="center"/>
            <w:hideMark/>
          </w:tcPr>
          <w:p w:rsidR="00A613BB" w:rsidRPr="0031286F" w:rsidRDefault="00A613BB" w:rsidP="009176C0">
            <w:pPr>
              <w:spacing w:after="0" w:line="240" w:lineRule="auto"/>
              <w:jc w:val="right"/>
              <w:rPr>
                <w:rFonts w:ascii="Arial" w:eastAsia="Times New Roman" w:hAnsi="Arial" w:cs="Arial"/>
                <w:color w:val="000000"/>
                <w:sz w:val="16"/>
                <w:szCs w:val="16"/>
                <w:lang w:eastAsia="it-IT"/>
              </w:rPr>
            </w:pPr>
            <w:r w:rsidRPr="0031286F">
              <w:rPr>
                <w:rFonts w:ascii="Arial" w:eastAsia="Times New Roman" w:hAnsi="Arial" w:cs="Arial"/>
                <w:color w:val="000000"/>
                <w:sz w:val="16"/>
                <w:szCs w:val="16"/>
                <w:lang w:eastAsia="it-IT"/>
              </w:rPr>
              <w:t>0,</w:t>
            </w:r>
            <w:r w:rsidR="009176C0" w:rsidRPr="0031286F">
              <w:rPr>
                <w:rFonts w:ascii="Arial" w:eastAsia="Times New Roman" w:hAnsi="Arial" w:cs="Arial"/>
                <w:color w:val="000000"/>
                <w:sz w:val="16"/>
                <w:szCs w:val="16"/>
                <w:lang w:eastAsia="it-IT"/>
              </w:rPr>
              <w:t>39</w:t>
            </w:r>
            <w:r w:rsidRPr="0031286F">
              <w:rPr>
                <w:rFonts w:ascii="Arial" w:eastAsia="Times New Roman" w:hAnsi="Arial" w:cs="Arial"/>
                <w:color w:val="000000"/>
                <w:sz w:val="16"/>
                <w:szCs w:val="16"/>
                <w:lang w:eastAsia="it-IT"/>
              </w:rPr>
              <w:t xml:space="preserve"> </w:t>
            </w:r>
          </w:p>
        </w:tc>
      </w:tr>
    </w:tbl>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A613BB" w:rsidRDefault="00A613BB" w:rsidP="00A613BB"/>
    <w:p w:rsidR="000D02C6" w:rsidRDefault="000D02C6" w:rsidP="000D02C6">
      <w:pPr>
        <w:pStyle w:val="Articolo"/>
        <w:numPr>
          <w:ilvl w:val="0"/>
          <w:numId w:val="0"/>
        </w:numPr>
        <w:rPr>
          <w:rFonts w:ascii="Arial" w:hAnsi="Arial" w:cs="Arial"/>
        </w:rPr>
      </w:pPr>
    </w:p>
    <w:p w:rsidR="000D02C6" w:rsidRPr="000D02C6" w:rsidRDefault="000D02C6" w:rsidP="000D02C6">
      <w:pPr>
        <w:pStyle w:val="Articolo"/>
        <w:numPr>
          <w:ilvl w:val="0"/>
          <w:numId w:val="0"/>
        </w:numPr>
        <w:rPr>
          <w:rFonts w:ascii="Arial" w:hAnsi="Arial" w:cs="Arial"/>
          <w:b w:val="0"/>
        </w:rPr>
      </w:pPr>
      <w:r w:rsidRPr="000D02C6">
        <w:rPr>
          <w:rFonts w:ascii="Arial" w:hAnsi="Arial" w:cs="Arial"/>
          <w:b w:val="0"/>
        </w:rPr>
        <w:t xml:space="preserve">In riferimento ai criteri per la ripartizione e destinazione delle risorse finanziarie. ( art 1) Il presente Contratto Collettivo Decentrato Integrativo disciplina le materie demandate alla contrattazione integrativa decentrata. </w:t>
      </w:r>
      <w:r w:rsidRPr="000D02C6">
        <w:rPr>
          <w:rFonts w:ascii="Arial" w:hAnsi="Arial" w:cs="Arial"/>
          <w:b w:val="0"/>
        </w:rPr>
        <w:lastRenderedPageBreak/>
        <w:t>Le risorse destinate all’incentivazione delle politiche delle risorse umane e della produttività sono determinate annualmente dall’Amministrazione nel rispetto della normativa vigente e del Contratto Collettivo Nazionale di Lavoro del personale non dirigente del Comparto Regioni e Autonomie Locali. Il fondo è composto da una parte definita “</w:t>
      </w:r>
      <w:r w:rsidRPr="000D02C6">
        <w:rPr>
          <w:rFonts w:ascii="Arial" w:hAnsi="Arial" w:cs="Arial"/>
          <w:b w:val="0"/>
          <w:i/>
        </w:rPr>
        <w:t>Risorse stabili e continue</w:t>
      </w:r>
      <w:r w:rsidRPr="000D02C6">
        <w:rPr>
          <w:rFonts w:ascii="Arial" w:hAnsi="Arial" w:cs="Arial"/>
          <w:b w:val="0"/>
        </w:rPr>
        <w:t xml:space="preserve">” (articolo 31, comma 2 e s.m.i. del vigente C.C.N.L.), che è meglio specificata nella Determinazione dirigenziale n°128 del 28 novembre 2013. </w:t>
      </w:r>
    </w:p>
    <w:p w:rsidR="000D02C6" w:rsidRDefault="000D02C6" w:rsidP="000D02C6">
      <w:pPr>
        <w:pStyle w:val="Testo"/>
        <w:ind w:firstLine="0"/>
        <w:rPr>
          <w:rFonts w:ascii="Arial" w:hAnsi="Arial" w:cs="Arial"/>
          <w:bCs/>
        </w:rPr>
      </w:pPr>
      <w:r w:rsidRPr="000D02C6">
        <w:t>Riguardo alle Relazioni sindacali ( art.2)</w:t>
      </w:r>
      <w:r w:rsidRPr="000D02C6">
        <w:rPr>
          <w:rFonts w:ascii="Arial" w:hAnsi="Arial" w:cs="Arial"/>
        </w:rPr>
        <w:t xml:space="preserve"> </w:t>
      </w:r>
      <w:r>
        <w:rPr>
          <w:rFonts w:ascii="Arial" w:hAnsi="Arial" w:cs="Arial"/>
        </w:rPr>
        <w:t xml:space="preserve">il </w:t>
      </w:r>
      <w:r w:rsidRPr="00712AD4">
        <w:rPr>
          <w:rFonts w:ascii="Arial" w:hAnsi="Arial" w:cs="Arial"/>
        </w:rPr>
        <w:t>presente Contratto conferma, per quanto conformi alla normativa vigente in materia, le disposizioni per le relazioni sindacali previste nel Contratto Collettivo Decentrato Integrativo siglato per gli anni 2006/2009 il 16 gennaio 2009,  per gli anni 2010/2011 il 3 settembre 2010 e per l’anno 2012 siglato il 16 novembre 2012, dove tra l’altro è previsto che i lavoratori dell’Ente approveranno lo schema di C.C.D.I. prima della sottoscrizione con le OO.SS..</w:t>
      </w:r>
      <w:r w:rsidRPr="001944BE">
        <w:rPr>
          <w:rFonts w:ascii="Arial" w:hAnsi="Arial" w:cs="Arial"/>
          <w:bCs/>
        </w:rPr>
        <w:t xml:space="preserve"> </w:t>
      </w:r>
    </w:p>
    <w:p w:rsidR="000D02C6" w:rsidRPr="000D02C6" w:rsidRDefault="000D02C6" w:rsidP="000D02C6">
      <w:pPr>
        <w:pStyle w:val="Articolo"/>
        <w:numPr>
          <w:ilvl w:val="0"/>
          <w:numId w:val="0"/>
        </w:numPr>
        <w:ind w:left="288" w:hanging="288"/>
        <w:rPr>
          <w:rFonts w:ascii="Arial" w:hAnsi="Arial" w:cs="Arial"/>
          <w:b w:val="0"/>
          <w:bCs/>
        </w:rPr>
      </w:pPr>
      <w:r w:rsidRPr="000D02C6">
        <w:rPr>
          <w:rFonts w:ascii="Arial" w:hAnsi="Arial" w:cs="Arial"/>
          <w:b w:val="0"/>
        </w:rPr>
        <w:t xml:space="preserve">Riguardo all’ Utilizzazione delle risorse ( art. 3 ) </w:t>
      </w:r>
      <w:r w:rsidRPr="000D02C6">
        <w:rPr>
          <w:rFonts w:ascii="Arial" w:hAnsi="Arial" w:cs="Arial"/>
          <w:b w:val="0"/>
          <w:bCs/>
        </w:rPr>
        <w:t>l fondo risorse decentrate per l’anno 2013 attualmente disponibile ammonta a Euro 39.314,56, e viene con questo contratto così destinato:</w:t>
      </w:r>
    </w:p>
    <w:p w:rsidR="000D02C6" w:rsidRPr="000D02C6" w:rsidRDefault="000D02C6" w:rsidP="000D02C6">
      <w:pPr>
        <w:pStyle w:val="Testo"/>
        <w:numPr>
          <w:ilvl w:val="6"/>
          <w:numId w:val="1"/>
        </w:numPr>
        <w:tabs>
          <w:tab w:val="clear" w:pos="2520"/>
          <w:tab w:val="num" w:pos="567"/>
        </w:tabs>
        <w:ind w:left="567" w:hanging="567"/>
        <w:rPr>
          <w:rFonts w:ascii="Arial" w:hAnsi="Arial" w:cs="Arial"/>
          <w:bCs/>
        </w:rPr>
      </w:pPr>
      <w:r w:rsidRPr="000D02C6">
        <w:rPr>
          <w:rFonts w:ascii="Arial" w:hAnsi="Arial" w:cs="Arial"/>
          <w:bCs/>
        </w:rPr>
        <w:t>Responsabilità specifiche            €18.625,00</w:t>
      </w:r>
    </w:p>
    <w:p w:rsidR="000D02C6" w:rsidRPr="000D02C6" w:rsidRDefault="000D02C6" w:rsidP="000D02C6">
      <w:pPr>
        <w:pStyle w:val="Testo"/>
        <w:numPr>
          <w:ilvl w:val="6"/>
          <w:numId w:val="1"/>
        </w:numPr>
        <w:tabs>
          <w:tab w:val="clear" w:pos="2520"/>
          <w:tab w:val="num" w:pos="567"/>
        </w:tabs>
        <w:ind w:left="567" w:hanging="567"/>
        <w:rPr>
          <w:rFonts w:ascii="Arial" w:hAnsi="Arial" w:cs="Arial"/>
          <w:bCs/>
        </w:rPr>
      </w:pPr>
      <w:r w:rsidRPr="000D02C6">
        <w:rPr>
          <w:rFonts w:ascii="Arial" w:hAnsi="Arial" w:cs="Arial"/>
          <w:bCs/>
        </w:rPr>
        <w:t>Produttività                                  € 9.960,00</w:t>
      </w:r>
    </w:p>
    <w:p w:rsidR="000D02C6" w:rsidRPr="000D02C6" w:rsidRDefault="000D02C6" w:rsidP="000D02C6">
      <w:pPr>
        <w:pStyle w:val="Testo"/>
        <w:numPr>
          <w:ilvl w:val="6"/>
          <w:numId w:val="1"/>
        </w:numPr>
        <w:tabs>
          <w:tab w:val="clear" w:pos="2520"/>
          <w:tab w:val="num" w:pos="567"/>
        </w:tabs>
        <w:ind w:left="567" w:hanging="567"/>
        <w:rPr>
          <w:rFonts w:ascii="Arial" w:hAnsi="Arial" w:cs="Arial"/>
          <w:bCs/>
        </w:rPr>
      </w:pPr>
      <w:r w:rsidRPr="000D02C6">
        <w:rPr>
          <w:rFonts w:ascii="Arial" w:hAnsi="Arial" w:cs="Arial"/>
          <w:bCs/>
        </w:rPr>
        <w:t xml:space="preserve">Articolo 15, comma 5                   € 10.400,00 </w:t>
      </w:r>
    </w:p>
    <w:p w:rsidR="000D02C6" w:rsidRPr="000D02C6" w:rsidRDefault="000D02C6" w:rsidP="000D02C6">
      <w:pPr>
        <w:pStyle w:val="Testo"/>
        <w:numPr>
          <w:ilvl w:val="6"/>
          <w:numId w:val="1"/>
        </w:numPr>
        <w:tabs>
          <w:tab w:val="clear" w:pos="2520"/>
          <w:tab w:val="num" w:pos="567"/>
        </w:tabs>
        <w:ind w:left="567" w:hanging="567"/>
        <w:rPr>
          <w:rFonts w:ascii="Arial" w:hAnsi="Arial" w:cs="Arial"/>
          <w:bCs/>
        </w:rPr>
      </w:pPr>
      <w:r w:rsidRPr="000D02C6">
        <w:rPr>
          <w:rFonts w:ascii="Arial" w:hAnsi="Arial" w:cs="Arial"/>
          <w:bCs/>
        </w:rPr>
        <w:t xml:space="preserve">indennità maneggio valori                € 329,56  </w:t>
      </w:r>
    </w:p>
    <w:p w:rsidR="000D02C6" w:rsidRPr="000D02C6" w:rsidRDefault="000D02C6" w:rsidP="000D02C6">
      <w:pPr>
        <w:pStyle w:val="Testo"/>
        <w:ind w:firstLine="0"/>
        <w:rPr>
          <w:rFonts w:ascii="Arial" w:hAnsi="Arial" w:cs="Arial"/>
        </w:rPr>
      </w:pPr>
      <w:r w:rsidRPr="000D02C6">
        <w:rPr>
          <w:rFonts w:ascii="Arial" w:hAnsi="Arial" w:cs="Arial"/>
        </w:rPr>
        <w:t>Il salario accessorio , dal compenso per specifiche responsabilità ai premi di produttività dovranno essere liquidata in unica soluzione nel periodo Dicembre 201</w:t>
      </w:r>
      <w:r w:rsidR="00866BDE">
        <w:rPr>
          <w:rFonts w:ascii="Arial" w:hAnsi="Arial" w:cs="Arial"/>
        </w:rPr>
        <w:t>4</w:t>
      </w:r>
      <w:r w:rsidRPr="000D02C6">
        <w:rPr>
          <w:rFonts w:ascii="Arial" w:hAnsi="Arial" w:cs="Arial"/>
        </w:rPr>
        <w:t xml:space="preserve"> – Aprile 201</w:t>
      </w:r>
      <w:r w:rsidR="00866BDE">
        <w:rPr>
          <w:rFonts w:ascii="Arial" w:hAnsi="Arial" w:cs="Arial"/>
        </w:rPr>
        <w:t>5</w:t>
      </w:r>
      <w:r w:rsidRPr="000D02C6">
        <w:rPr>
          <w:rFonts w:ascii="Arial" w:hAnsi="Arial" w:cs="Arial"/>
        </w:rPr>
        <w:t xml:space="preserve">. </w:t>
      </w:r>
    </w:p>
    <w:p w:rsidR="000D02C6" w:rsidRDefault="000D02C6" w:rsidP="000D02C6">
      <w:pPr>
        <w:pStyle w:val="Testo"/>
        <w:ind w:firstLine="0"/>
        <w:rPr>
          <w:rFonts w:ascii="Arial" w:hAnsi="Arial" w:cs="Arial"/>
        </w:rPr>
      </w:pPr>
      <w:r w:rsidRPr="00712AD4">
        <w:rPr>
          <w:rFonts w:ascii="Arial" w:hAnsi="Arial" w:cs="Arial"/>
        </w:rPr>
        <w:t>La corresponsione dell’incentivo della produttività</w:t>
      </w:r>
      <w:r>
        <w:rPr>
          <w:rFonts w:ascii="Arial" w:hAnsi="Arial" w:cs="Arial"/>
        </w:rPr>
        <w:t xml:space="preserve"> ( art. 4) </w:t>
      </w:r>
      <w:r w:rsidRPr="00712AD4">
        <w:rPr>
          <w:rFonts w:ascii="Arial" w:hAnsi="Arial" w:cs="Arial"/>
        </w:rPr>
        <w:t>deve essere correlata ad effettivi incrementi di produttività (intesa come valore aggiunto della prestazione) e di miglioramento qualitativo e quantitativo dei servizi</w:t>
      </w:r>
      <w:r>
        <w:rPr>
          <w:rFonts w:ascii="Arial" w:hAnsi="Arial" w:cs="Arial"/>
        </w:rPr>
        <w:t>.</w:t>
      </w:r>
      <w:r w:rsidRPr="00712AD4">
        <w:rPr>
          <w:rFonts w:ascii="Arial" w:hAnsi="Arial" w:cs="Arial"/>
        </w:rPr>
        <w:t xml:space="preserve"> </w:t>
      </w:r>
    </w:p>
    <w:p w:rsidR="000D02C6" w:rsidRPr="00712AD4" w:rsidRDefault="000D02C6" w:rsidP="000D02C6">
      <w:pPr>
        <w:pStyle w:val="Testo"/>
        <w:ind w:firstLine="0"/>
        <w:rPr>
          <w:rFonts w:ascii="Arial" w:hAnsi="Arial" w:cs="Arial"/>
        </w:rPr>
      </w:pPr>
      <w:r w:rsidRPr="00712AD4">
        <w:rPr>
          <w:rFonts w:ascii="Arial" w:hAnsi="Arial" w:cs="Arial"/>
        </w:rPr>
        <w:t xml:space="preserve">La valutazione del personale si basa su una relazione individuale analitica con la quale il dipendente dovrà esplicare e dettagliare la propria attività lavorativa, che deve essere analizzata sia dal punto di vista qualitativo che quantitativo. La relazione, che in chiusura dovrà riportare l’opinione del dipendente in merito alla propria auto-valutazione, dovrà essere resa in forma tale da consentire al dirigente la completa possibilità di esprimere il proprio giudizio basandosi sui medesimi elementi rendicontati dal dipendente. Il dirigente dovrà sintetizzare la propria valutazione compilando una scheda numerica che sarà utilizzata </w:t>
      </w:r>
      <w:r>
        <w:rPr>
          <w:rFonts w:ascii="Arial" w:hAnsi="Arial" w:cs="Arial"/>
        </w:rPr>
        <w:t xml:space="preserve">anche </w:t>
      </w:r>
      <w:r w:rsidRPr="00712AD4">
        <w:rPr>
          <w:rFonts w:ascii="Arial" w:hAnsi="Arial" w:cs="Arial"/>
        </w:rPr>
        <w:t>come base di calcolo del corrispondente incentivo economico.</w:t>
      </w:r>
    </w:p>
    <w:p w:rsidR="000D02C6" w:rsidRPr="00712AD4" w:rsidRDefault="000D02C6" w:rsidP="000D02C6">
      <w:pPr>
        <w:pStyle w:val="Testo"/>
        <w:ind w:firstLine="0"/>
        <w:rPr>
          <w:rFonts w:ascii="Arial" w:hAnsi="Arial" w:cs="Arial"/>
        </w:rPr>
      </w:pPr>
      <w:r w:rsidRPr="00712AD4">
        <w:rPr>
          <w:rFonts w:ascii="Arial" w:hAnsi="Arial" w:cs="Arial"/>
        </w:rPr>
        <w:t>Tutto il personale dipendente dovrà essere soggetto a valutazione annuale.</w:t>
      </w:r>
    </w:p>
    <w:p w:rsidR="000D02C6" w:rsidRDefault="000D02C6" w:rsidP="000D02C6">
      <w:pPr>
        <w:pStyle w:val="Testo"/>
        <w:ind w:firstLine="0"/>
        <w:rPr>
          <w:rFonts w:ascii="Arial" w:hAnsi="Arial" w:cs="Arial"/>
        </w:rPr>
      </w:pPr>
      <w:r w:rsidRPr="00712AD4">
        <w:rPr>
          <w:rFonts w:ascii="Arial" w:hAnsi="Arial" w:cs="Arial"/>
        </w:rPr>
        <w:t>Le risorse destinate a finanziare la produttività devono essere ripartite fra il personale dipendente sulla base della valutazione resa dal Dirigente</w:t>
      </w:r>
      <w:r w:rsidR="00866BDE">
        <w:rPr>
          <w:rFonts w:ascii="Arial" w:hAnsi="Arial" w:cs="Arial"/>
        </w:rPr>
        <w:t xml:space="preserve"> che </w:t>
      </w:r>
      <w:r w:rsidRPr="00712AD4">
        <w:rPr>
          <w:rFonts w:ascii="Arial" w:hAnsi="Arial" w:cs="Arial"/>
        </w:rPr>
        <w:t>dovrà tener conto dei parametri in appresso indicati con il relativo peso percentuale:</w:t>
      </w:r>
    </w:p>
    <w:tbl>
      <w:tblPr>
        <w:tblW w:w="0" w:type="auto"/>
        <w:jc w:val="center"/>
        <w:tblCellMar>
          <w:top w:w="28" w:type="dxa"/>
          <w:left w:w="57" w:type="dxa"/>
          <w:bottom w:w="28" w:type="dxa"/>
          <w:right w:w="57" w:type="dxa"/>
        </w:tblCellMar>
        <w:tblLook w:val="0000" w:firstRow="0" w:lastRow="0" w:firstColumn="0" w:lastColumn="0" w:noHBand="0" w:noVBand="0"/>
      </w:tblPr>
      <w:tblGrid>
        <w:gridCol w:w="1074"/>
        <w:gridCol w:w="257"/>
        <w:gridCol w:w="7862"/>
        <w:gridCol w:w="559"/>
      </w:tblGrid>
      <w:tr w:rsidR="000D02C6" w:rsidRPr="00712AD4" w:rsidTr="00141DA0">
        <w:trPr>
          <w:cantSplit/>
          <w:trHeight w:val="23"/>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FFFF99"/>
            <w:noWrap/>
            <w:vAlign w:val="center"/>
          </w:tcPr>
          <w:p w:rsidR="000D02C6" w:rsidRPr="000D02C6" w:rsidRDefault="000D02C6" w:rsidP="00141DA0">
            <w:pPr>
              <w:spacing w:before="60"/>
              <w:jc w:val="center"/>
              <w:rPr>
                <w:rFonts w:ascii="Arial" w:hAnsi="Arial" w:cs="Arial"/>
                <w:b/>
                <w:bCs/>
                <w:sz w:val="16"/>
                <w:szCs w:val="16"/>
              </w:rPr>
            </w:pPr>
            <w:r w:rsidRPr="000D02C6">
              <w:rPr>
                <w:rFonts w:ascii="Arial" w:hAnsi="Arial" w:cs="Arial"/>
                <w:b/>
                <w:bCs/>
                <w:sz w:val="16"/>
                <w:szCs w:val="16"/>
              </w:rPr>
              <w:t>CATEGORIA</w:t>
            </w:r>
          </w:p>
        </w:tc>
        <w:tc>
          <w:tcPr>
            <w:tcW w:w="0" w:type="auto"/>
            <w:gridSpan w:val="2"/>
            <w:tcBorders>
              <w:top w:val="single" w:sz="4" w:space="0" w:color="auto"/>
              <w:left w:val="nil"/>
              <w:bottom w:val="single" w:sz="4" w:space="0" w:color="auto"/>
              <w:right w:val="single" w:sz="4" w:space="0" w:color="auto"/>
            </w:tcBorders>
            <w:shd w:val="clear" w:color="auto" w:fill="FFFF99"/>
            <w:noWrap/>
            <w:vAlign w:val="center"/>
          </w:tcPr>
          <w:p w:rsidR="000D02C6" w:rsidRPr="000D02C6" w:rsidRDefault="000D02C6" w:rsidP="00141DA0">
            <w:pPr>
              <w:spacing w:before="60"/>
              <w:jc w:val="center"/>
              <w:rPr>
                <w:rFonts w:ascii="Arial" w:hAnsi="Arial" w:cs="Arial"/>
                <w:b/>
                <w:bCs/>
                <w:sz w:val="16"/>
                <w:szCs w:val="16"/>
              </w:rPr>
            </w:pPr>
            <w:r w:rsidRPr="000D02C6">
              <w:rPr>
                <w:rFonts w:ascii="Arial" w:hAnsi="Arial" w:cs="Arial"/>
                <w:b/>
                <w:bCs/>
                <w:sz w:val="16"/>
                <w:szCs w:val="16"/>
              </w:rPr>
              <w:t>COMPORTAMENTI ORGANIZZATIVI</w:t>
            </w:r>
          </w:p>
        </w:tc>
        <w:tc>
          <w:tcPr>
            <w:tcW w:w="0" w:type="auto"/>
            <w:tcBorders>
              <w:top w:val="single" w:sz="4" w:space="0" w:color="auto"/>
              <w:left w:val="nil"/>
              <w:bottom w:val="single" w:sz="4" w:space="0" w:color="auto"/>
              <w:right w:val="single" w:sz="4" w:space="0" w:color="auto"/>
            </w:tcBorders>
            <w:shd w:val="clear" w:color="auto" w:fill="FFFF99"/>
            <w:noWrap/>
            <w:vAlign w:val="center"/>
          </w:tcPr>
          <w:p w:rsidR="000D02C6" w:rsidRPr="000D02C6" w:rsidRDefault="000D02C6" w:rsidP="00141DA0">
            <w:pPr>
              <w:spacing w:before="60"/>
              <w:jc w:val="center"/>
              <w:rPr>
                <w:rFonts w:ascii="Arial" w:hAnsi="Arial" w:cs="Arial"/>
                <w:b/>
                <w:bCs/>
                <w:sz w:val="16"/>
                <w:szCs w:val="16"/>
              </w:rPr>
            </w:pPr>
            <w:r w:rsidRPr="000D02C6">
              <w:rPr>
                <w:rFonts w:ascii="Arial" w:hAnsi="Arial" w:cs="Arial"/>
                <w:b/>
                <w:bCs/>
                <w:sz w:val="16"/>
                <w:szCs w:val="16"/>
              </w:rPr>
              <w:t>PESO</w:t>
            </w:r>
          </w:p>
        </w:tc>
      </w:tr>
      <w:tr w:rsidR="000D02C6" w:rsidRPr="00812404" w:rsidTr="00141DA0">
        <w:trPr>
          <w:cantSplit/>
          <w:trHeight w:val="23"/>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B</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a)</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Risultati ottenuti</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20</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b)</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Impegno e qualità della prestazione</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20</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c)</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Disponibilità al miglioramento della prestazione e all’utilizzo di strumenti tecnologicamente avanzati</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15</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d)</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Attitudine a lavorare in staff o gruppi di lavoro</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30</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e)</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Contributo al raggiungimento degli obiettivi dell’Ente</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15</w:t>
            </w:r>
          </w:p>
        </w:tc>
      </w:tr>
      <w:tr w:rsidR="000D02C6" w:rsidRPr="00812404" w:rsidTr="00141DA0">
        <w:trPr>
          <w:cantSplit/>
          <w:trHeight w:val="23"/>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C</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a)</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Risultati ottenuti</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25</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b)</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Impegno e qualità della prestazione anche con riguardo alla iniziativa personale e alle capacità di proporre soluzioni migliorative</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20</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c)</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Disponibilità al miglioramento della prestazione e all’utilizzo di strumenti tecnologicamente avanzati</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15</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d)</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Attitudine a lavorare in staff o gruppi di lavoro</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20</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e)</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Contributo al raggiungimento degli obiettivi dell’Ente</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20</w:t>
            </w:r>
          </w:p>
        </w:tc>
      </w:tr>
      <w:tr w:rsidR="000D02C6" w:rsidRPr="00812404" w:rsidTr="00141DA0">
        <w:trPr>
          <w:cantSplit/>
          <w:trHeight w:val="23"/>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D</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a)</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Risultati ottenuti</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35</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b)</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Impegno e qualità della prestazione anche con riguardo alla iniziativa personale e alle capacità di proporre soluzioni migliorative</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10</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c)</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Disponibilità al miglioramento della prestazione e all’utilizzo di strumenti tecnologicamente avanzati</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15</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d)</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Attitudine a lavorare in staff o gruppi di lavoro</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10</w:t>
            </w:r>
          </w:p>
        </w:tc>
      </w:tr>
      <w:tr w:rsidR="000D02C6" w:rsidRPr="00812404" w:rsidTr="00141DA0">
        <w:trPr>
          <w:cantSplit/>
          <w:trHeight w:val="23"/>
          <w:jc w:val="center"/>
        </w:trPr>
        <w:tc>
          <w:tcPr>
            <w:tcW w:w="0" w:type="auto"/>
            <w:vMerge/>
            <w:tcBorders>
              <w:top w:val="nil"/>
              <w:left w:val="single" w:sz="4" w:space="0" w:color="auto"/>
              <w:bottom w:val="single" w:sz="4" w:space="0" w:color="auto"/>
              <w:right w:val="single" w:sz="4" w:space="0" w:color="auto"/>
            </w:tcBorders>
            <w:vAlign w:val="center"/>
          </w:tcPr>
          <w:p w:rsidR="000D02C6" w:rsidRPr="000D02C6" w:rsidRDefault="000D02C6" w:rsidP="00141DA0">
            <w:pPr>
              <w:spacing w:before="60"/>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jc w:val="right"/>
              <w:rPr>
                <w:rFonts w:ascii="Arial" w:hAnsi="Arial" w:cs="Arial"/>
                <w:sz w:val="16"/>
                <w:szCs w:val="16"/>
              </w:rPr>
            </w:pPr>
            <w:r w:rsidRPr="000D02C6">
              <w:rPr>
                <w:rFonts w:ascii="Arial" w:hAnsi="Arial" w:cs="Arial"/>
                <w:sz w:val="16"/>
                <w:szCs w:val="16"/>
              </w:rPr>
              <w:t>e)</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141DA0">
            <w:pPr>
              <w:spacing w:before="60"/>
              <w:rPr>
                <w:rFonts w:ascii="Arial" w:hAnsi="Arial" w:cs="Arial"/>
                <w:sz w:val="16"/>
                <w:szCs w:val="16"/>
              </w:rPr>
            </w:pPr>
            <w:r w:rsidRPr="000D02C6">
              <w:rPr>
                <w:rFonts w:ascii="Arial" w:hAnsi="Arial" w:cs="Arial"/>
                <w:sz w:val="16"/>
                <w:szCs w:val="16"/>
              </w:rPr>
              <w:t>Contributo al raggiungimento degli obiettivi dell’Ente</w:t>
            </w:r>
          </w:p>
        </w:tc>
        <w:tc>
          <w:tcPr>
            <w:tcW w:w="0" w:type="auto"/>
            <w:tcBorders>
              <w:top w:val="nil"/>
              <w:left w:val="nil"/>
              <w:bottom w:val="single" w:sz="4" w:space="0" w:color="auto"/>
              <w:right w:val="single" w:sz="4" w:space="0" w:color="auto"/>
            </w:tcBorders>
            <w:shd w:val="clear" w:color="auto" w:fill="auto"/>
            <w:noWrap/>
            <w:vAlign w:val="center"/>
          </w:tcPr>
          <w:p w:rsidR="000D02C6" w:rsidRPr="000D02C6" w:rsidRDefault="000D02C6" w:rsidP="00141DA0">
            <w:pPr>
              <w:spacing w:before="60"/>
              <w:jc w:val="center"/>
              <w:rPr>
                <w:rFonts w:ascii="Arial" w:hAnsi="Arial" w:cs="Arial"/>
                <w:sz w:val="16"/>
                <w:szCs w:val="16"/>
              </w:rPr>
            </w:pPr>
            <w:r w:rsidRPr="000D02C6">
              <w:rPr>
                <w:rFonts w:ascii="Arial" w:hAnsi="Arial" w:cs="Arial"/>
                <w:sz w:val="16"/>
                <w:szCs w:val="16"/>
              </w:rPr>
              <w:t>30</w:t>
            </w:r>
          </w:p>
        </w:tc>
      </w:tr>
    </w:tbl>
    <w:p w:rsidR="000D02C6" w:rsidRPr="00712AD4" w:rsidRDefault="000D02C6" w:rsidP="000D02C6">
      <w:pPr>
        <w:pStyle w:val="Testo"/>
        <w:ind w:firstLine="0"/>
        <w:rPr>
          <w:rFonts w:ascii="Arial" w:hAnsi="Arial" w:cs="Arial"/>
        </w:rPr>
      </w:pPr>
      <w:r w:rsidRPr="00712AD4">
        <w:rPr>
          <w:rFonts w:ascii="Arial" w:hAnsi="Arial" w:cs="Arial"/>
        </w:rPr>
        <w:t>L’attribuzione dei compensi per l’incentivazione della produttività dovrà essere proporzionata alla effettiva presenza in servizio.</w:t>
      </w:r>
    </w:p>
    <w:p w:rsidR="000D02C6" w:rsidRPr="00712AD4" w:rsidRDefault="000D02C6" w:rsidP="000D02C6">
      <w:pPr>
        <w:pStyle w:val="Testo"/>
        <w:ind w:firstLine="0"/>
        <w:rPr>
          <w:rFonts w:ascii="Arial" w:hAnsi="Arial" w:cs="Arial"/>
        </w:rPr>
      </w:pPr>
      <w:r w:rsidRPr="00F547A0">
        <w:rPr>
          <w:rFonts w:ascii="Arial" w:hAnsi="Arial" w:cs="Arial"/>
        </w:rPr>
        <w:t>Il personale incaricato di Posizione Organizzativa o di Alta Professionalità sarà soggetto alla valutazione ai fini della produttività per il periodo non coperto dall’assegnazione dell’incarico, qualora non diversamente previsto.</w:t>
      </w:r>
    </w:p>
    <w:p w:rsidR="000D02C6" w:rsidRPr="00712AD4" w:rsidRDefault="000D02C6" w:rsidP="000D02C6">
      <w:pPr>
        <w:pStyle w:val="Testo"/>
        <w:ind w:firstLine="0"/>
        <w:rPr>
          <w:rFonts w:ascii="Arial" w:hAnsi="Arial" w:cs="Arial"/>
        </w:rPr>
      </w:pPr>
      <w:r w:rsidRPr="00712AD4">
        <w:rPr>
          <w:rFonts w:ascii="Arial" w:hAnsi="Arial" w:cs="Arial"/>
        </w:rPr>
        <w:t xml:space="preserve">Entro il mese di </w:t>
      </w:r>
      <w:r>
        <w:rPr>
          <w:rFonts w:ascii="Arial" w:hAnsi="Arial" w:cs="Arial"/>
        </w:rPr>
        <w:t xml:space="preserve">Dicembre o al più tardi entro il mese di </w:t>
      </w:r>
      <w:r w:rsidRPr="00712AD4">
        <w:rPr>
          <w:rFonts w:ascii="Arial" w:hAnsi="Arial" w:cs="Arial"/>
        </w:rPr>
        <w:t>febbraio successivo all’anno di riferimento, il Dirigente deve predisporre, per ciascun dipendente, la scheda numerica di valutazione riportante, in caso di valutazione “</w:t>
      </w:r>
      <w:r w:rsidRPr="00712AD4">
        <w:rPr>
          <w:rFonts w:ascii="Arial" w:hAnsi="Arial" w:cs="Arial"/>
          <w:i/>
        </w:rPr>
        <w:t>migliorabile</w:t>
      </w:r>
      <w:r w:rsidRPr="00712AD4">
        <w:rPr>
          <w:rFonts w:ascii="Arial" w:hAnsi="Arial" w:cs="Arial"/>
        </w:rPr>
        <w:t xml:space="preserve">”, una adeguata motivazione. La scheda di valutazione sarà </w:t>
      </w:r>
      <w:r>
        <w:rPr>
          <w:rFonts w:ascii="Arial" w:hAnsi="Arial" w:cs="Arial"/>
        </w:rPr>
        <w:t xml:space="preserve">consegnata dal Dirigente al dipendente il quale potrà contestare </w:t>
      </w:r>
      <w:r w:rsidRPr="00712AD4">
        <w:rPr>
          <w:rFonts w:ascii="Arial" w:hAnsi="Arial" w:cs="Arial"/>
        </w:rPr>
        <w:t xml:space="preserve">il giudizio ricevuto </w:t>
      </w:r>
      <w:r>
        <w:rPr>
          <w:rFonts w:ascii="Arial" w:hAnsi="Arial" w:cs="Arial"/>
        </w:rPr>
        <w:t>non sottoscrivendo per condivisione  la valutazione ricevuta.</w:t>
      </w:r>
    </w:p>
    <w:p w:rsidR="000D02C6" w:rsidRDefault="000D02C6" w:rsidP="000D02C6">
      <w:pPr>
        <w:pStyle w:val="Testo"/>
        <w:ind w:firstLine="0"/>
        <w:rPr>
          <w:rFonts w:ascii="Arial" w:hAnsi="Arial" w:cs="Arial"/>
        </w:rPr>
      </w:pPr>
      <w:r w:rsidRPr="00712AD4">
        <w:rPr>
          <w:rFonts w:ascii="Arial" w:hAnsi="Arial" w:cs="Arial"/>
        </w:rPr>
        <w:t>Ai fini della compilazione della scheda numerica di valutazione, il giudizio reso dal Dirigente, tradotto in termini numerici, sarà compreso fra 1 e 5 secondo la seguente graduazione:</w:t>
      </w:r>
    </w:p>
    <w:tbl>
      <w:tblPr>
        <w:tblW w:w="0" w:type="auto"/>
        <w:jc w:val="center"/>
        <w:tblCellMar>
          <w:top w:w="28" w:type="dxa"/>
          <w:left w:w="57" w:type="dxa"/>
          <w:bottom w:w="28" w:type="dxa"/>
          <w:right w:w="57" w:type="dxa"/>
        </w:tblCellMar>
        <w:tblLook w:val="0000" w:firstRow="0" w:lastRow="0" w:firstColumn="0" w:lastColumn="0" w:noHBand="0" w:noVBand="0"/>
      </w:tblPr>
      <w:tblGrid>
        <w:gridCol w:w="337"/>
        <w:gridCol w:w="1635"/>
        <w:gridCol w:w="7780"/>
      </w:tblGrid>
      <w:tr w:rsidR="000D02C6" w:rsidRPr="00712AD4" w:rsidTr="00141DA0">
        <w:trPr>
          <w:cantSplit/>
          <w:trHeight w:val="23"/>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FFFF99"/>
            <w:noWrap/>
            <w:vAlign w:val="center"/>
          </w:tcPr>
          <w:p w:rsidR="000D02C6" w:rsidRPr="000D02C6" w:rsidRDefault="000D02C6" w:rsidP="000D02C6">
            <w:pPr>
              <w:spacing w:after="0"/>
              <w:jc w:val="center"/>
              <w:rPr>
                <w:rFonts w:ascii="Arial" w:hAnsi="Arial" w:cs="Arial"/>
                <w:b/>
                <w:bCs/>
                <w:sz w:val="20"/>
                <w:szCs w:val="20"/>
              </w:rPr>
            </w:pPr>
            <w:r w:rsidRPr="000D02C6">
              <w:rPr>
                <w:rFonts w:ascii="Arial" w:hAnsi="Arial" w:cs="Arial"/>
                <w:b/>
                <w:bCs/>
                <w:sz w:val="20"/>
                <w:szCs w:val="20"/>
              </w:rPr>
              <w:t>VALUTAZIONE</w:t>
            </w:r>
          </w:p>
        </w:tc>
        <w:tc>
          <w:tcPr>
            <w:tcW w:w="0" w:type="auto"/>
            <w:tcBorders>
              <w:top w:val="single" w:sz="4" w:space="0" w:color="auto"/>
              <w:left w:val="nil"/>
              <w:bottom w:val="single" w:sz="4" w:space="0" w:color="auto"/>
              <w:right w:val="single" w:sz="4" w:space="0" w:color="auto"/>
            </w:tcBorders>
            <w:shd w:val="clear" w:color="auto" w:fill="FFFF99"/>
            <w:noWrap/>
            <w:vAlign w:val="center"/>
          </w:tcPr>
          <w:p w:rsidR="000D02C6" w:rsidRPr="000D02C6" w:rsidRDefault="000D02C6" w:rsidP="000D02C6">
            <w:pPr>
              <w:spacing w:after="0"/>
              <w:jc w:val="center"/>
              <w:rPr>
                <w:rFonts w:ascii="Arial" w:hAnsi="Arial" w:cs="Arial"/>
                <w:b/>
                <w:bCs/>
                <w:sz w:val="20"/>
                <w:szCs w:val="20"/>
              </w:rPr>
            </w:pPr>
            <w:r w:rsidRPr="000D02C6">
              <w:rPr>
                <w:rFonts w:ascii="Arial" w:hAnsi="Arial" w:cs="Arial"/>
                <w:b/>
                <w:bCs/>
                <w:sz w:val="20"/>
                <w:szCs w:val="20"/>
              </w:rPr>
              <w:t>DESCRIZIONE</w:t>
            </w:r>
          </w:p>
        </w:tc>
      </w:tr>
      <w:tr w:rsidR="000D02C6" w:rsidRPr="00712AD4" w:rsidTr="000D02C6">
        <w:trPr>
          <w:cantSplit/>
          <w:trHeight w:val="514"/>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1</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INSODDISFACENTE</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rPr>
                <w:rFonts w:ascii="Arial" w:hAnsi="Arial" w:cs="Arial"/>
                <w:sz w:val="20"/>
                <w:szCs w:val="20"/>
              </w:rPr>
            </w:pPr>
            <w:r w:rsidRPr="000D02C6">
              <w:rPr>
                <w:rFonts w:ascii="Arial" w:hAnsi="Arial" w:cs="Arial"/>
                <w:sz w:val="20"/>
                <w:szCs w:val="20"/>
              </w:rPr>
              <w:t>Il comportamento dell'interessato non ha determinato nessun apporto alla struttura organizzativa ovvero è stato oggetto di contestazioni disciplinari.</w:t>
            </w:r>
          </w:p>
        </w:tc>
      </w:tr>
      <w:tr w:rsidR="000D02C6" w:rsidRPr="00712AD4" w:rsidTr="000D02C6">
        <w:trPr>
          <w:cantSplit/>
          <w:trHeight w:val="526"/>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2</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MIGLIORABILE</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rPr>
                <w:rFonts w:ascii="Arial" w:hAnsi="Arial" w:cs="Arial"/>
                <w:sz w:val="20"/>
                <w:szCs w:val="20"/>
              </w:rPr>
            </w:pPr>
            <w:r w:rsidRPr="000D02C6">
              <w:rPr>
                <w:rFonts w:ascii="Arial" w:hAnsi="Arial" w:cs="Arial"/>
                <w:sz w:val="20"/>
                <w:szCs w:val="20"/>
              </w:rPr>
              <w:t>Il comportamento dell'interessato è stato oggetto di ripetute osservazioni durante l'anno per cui è atteso un miglioramento da perseguire nel prossimo periodo.</w:t>
            </w:r>
          </w:p>
        </w:tc>
      </w:tr>
      <w:tr w:rsidR="000D02C6" w:rsidRPr="00712AD4" w:rsidTr="000D02C6">
        <w:trPr>
          <w:cantSplit/>
          <w:trHeight w:val="538"/>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lastRenderedPageBreak/>
              <w:t>3</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SUFFICIENTE</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rPr>
                <w:rFonts w:ascii="Arial" w:hAnsi="Arial" w:cs="Arial"/>
                <w:sz w:val="20"/>
                <w:szCs w:val="20"/>
              </w:rPr>
            </w:pPr>
            <w:r w:rsidRPr="000D02C6">
              <w:rPr>
                <w:rFonts w:ascii="Arial" w:hAnsi="Arial" w:cs="Arial"/>
                <w:sz w:val="20"/>
                <w:szCs w:val="20"/>
              </w:rPr>
              <w:t>Il comportamento dell'interessato è accettabile pur non concorrendo a migliorare le prestazioni dell'organizzazione.</w:t>
            </w:r>
          </w:p>
        </w:tc>
      </w:tr>
      <w:tr w:rsidR="000D02C6" w:rsidRPr="00712AD4" w:rsidTr="000D02C6">
        <w:trPr>
          <w:cantSplit/>
          <w:trHeight w:val="678"/>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3,5</w:t>
            </w:r>
            <w:r w:rsidRPr="000D02C6">
              <w:rPr>
                <w:rFonts w:ascii="Arial" w:hAnsi="Arial" w:cs="Arial"/>
                <w:sz w:val="16"/>
                <w:szCs w:val="16"/>
              </w:rPr>
              <w:br/>
              <w:t>4</w:t>
            </w:r>
            <w:r w:rsidRPr="000D02C6">
              <w:rPr>
                <w:rFonts w:ascii="Arial" w:hAnsi="Arial" w:cs="Arial"/>
                <w:sz w:val="16"/>
                <w:szCs w:val="16"/>
              </w:rPr>
              <w:br/>
              <w:t>4,5</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BUONO</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rPr>
                <w:rFonts w:ascii="Arial" w:hAnsi="Arial" w:cs="Arial"/>
                <w:sz w:val="20"/>
                <w:szCs w:val="20"/>
              </w:rPr>
            </w:pPr>
            <w:r w:rsidRPr="000D02C6">
              <w:rPr>
                <w:rFonts w:ascii="Arial" w:hAnsi="Arial" w:cs="Arial"/>
                <w:sz w:val="20"/>
                <w:szCs w:val="20"/>
              </w:rPr>
              <w:t>Il comportamento dell'interessato è caratterizzato da prestazioni quantitativamente e/o qualitativamente apprezzabili.</w:t>
            </w:r>
          </w:p>
        </w:tc>
      </w:tr>
      <w:tr w:rsidR="000D02C6" w:rsidRPr="00712AD4" w:rsidTr="00141DA0">
        <w:trPr>
          <w:cantSplit/>
          <w:trHeight w:val="23"/>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5</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jc w:val="center"/>
              <w:rPr>
                <w:rFonts w:ascii="Arial" w:hAnsi="Arial" w:cs="Arial"/>
                <w:sz w:val="16"/>
                <w:szCs w:val="16"/>
              </w:rPr>
            </w:pPr>
            <w:r w:rsidRPr="000D02C6">
              <w:rPr>
                <w:rFonts w:ascii="Arial" w:hAnsi="Arial" w:cs="Arial"/>
                <w:sz w:val="16"/>
                <w:szCs w:val="16"/>
              </w:rPr>
              <w:t>ECCELLENTE</w:t>
            </w:r>
          </w:p>
        </w:tc>
        <w:tc>
          <w:tcPr>
            <w:tcW w:w="0" w:type="auto"/>
            <w:tcBorders>
              <w:top w:val="nil"/>
              <w:left w:val="nil"/>
              <w:bottom w:val="single" w:sz="4" w:space="0" w:color="auto"/>
              <w:right w:val="single" w:sz="4" w:space="0" w:color="auto"/>
            </w:tcBorders>
            <w:shd w:val="clear" w:color="auto" w:fill="auto"/>
            <w:vAlign w:val="center"/>
          </w:tcPr>
          <w:p w:rsidR="000D02C6" w:rsidRPr="000D02C6" w:rsidRDefault="000D02C6" w:rsidP="000D02C6">
            <w:pPr>
              <w:spacing w:after="0"/>
              <w:rPr>
                <w:rFonts w:ascii="Arial" w:hAnsi="Arial" w:cs="Arial"/>
                <w:sz w:val="20"/>
                <w:szCs w:val="20"/>
              </w:rPr>
            </w:pPr>
            <w:r w:rsidRPr="000D02C6">
              <w:rPr>
                <w:rFonts w:ascii="Arial" w:hAnsi="Arial" w:cs="Arial"/>
                <w:sz w:val="20"/>
                <w:szCs w:val="20"/>
              </w:rPr>
              <w:t>Il comportamento dell'interessato è caratterizzato da prestazioni ineccepibili sia sotto il profilo quantitativo che qualitativo.</w:t>
            </w:r>
          </w:p>
        </w:tc>
      </w:tr>
    </w:tbl>
    <w:p w:rsidR="00866BDE" w:rsidRDefault="00866BDE" w:rsidP="000D02C6">
      <w:pPr>
        <w:pStyle w:val="Testo"/>
        <w:ind w:firstLine="0"/>
        <w:rPr>
          <w:rFonts w:ascii="Arial" w:hAnsi="Arial" w:cs="Arial"/>
          <w:bCs/>
        </w:rPr>
      </w:pPr>
    </w:p>
    <w:p w:rsidR="000D02C6" w:rsidRPr="00712AD4" w:rsidRDefault="000D02C6" w:rsidP="000D02C6">
      <w:pPr>
        <w:pStyle w:val="Testo"/>
        <w:ind w:firstLine="0"/>
        <w:rPr>
          <w:rFonts w:ascii="Arial" w:hAnsi="Arial" w:cs="Arial"/>
          <w:bCs/>
        </w:rPr>
      </w:pPr>
      <w:r w:rsidRPr="00712AD4">
        <w:rPr>
          <w:rFonts w:ascii="Arial" w:hAnsi="Arial" w:cs="Arial"/>
          <w:bCs/>
        </w:rPr>
        <w:t>Tale valutazione dovrà essere moltiplicata per il peso percentuale assegnato in merito alla valutazione dei comportamenti organizzativi. Il risultato ottenuto per tutte le voci di giudizio viene sommato e parametrato in termini percentuali.</w:t>
      </w:r>
    </w:p>
    <w:p w:rsidR="000D02C6" w:rsidRDefault="000D02C6" w:rsidP="000D02C6">
      <w:pPr>
        <w:pStyle w:val="Testo"/>
        <w:ind w:firstLine="0"/>
        <w:rPr>
          <w:rFonts w:ascii="Arial" w:hAnsi="Arial" w:cs="Arial"/>
          <w:bCs/>
        </w:rPr>
      </w:pPr>
      <w:r w:rsidRPr="00712AD4">
        <w:rPr>
          <w:rFonts w:ascii="Arial" w:hAnsi="Arial" w:cs="Arial"/>
          <w:bCs/>
        </w:rPr>
        <w:t>Le risorse destinate all’applicazione del presente contratto saranno interamente spese nell’anno di riferimento</w:t>
      </w:r>
      <w:r>
        <w:rPr>
          <w:rFonts w:ascii="Arial" w:hAnsi="Arial" w:cs="Arial"/>
          <w:bCs/>
        </w:rPr>
        <w:t xml:space="preserve"> e le somme non distribuite</w:t>
      </w:r>
      <w:r w:rsidR="00866BDE">
        <w:rPr>
          <w:rFonts w:ascii="Arial" w:hAnsi="Arial" w:cs="Arial"/>
          <w:bCs/>
        </w:rPr>
        <w:t>,</w:t>
      </w:r>
      <w:r>
        <w:rPr>
          <w:rFonts w:ascii="Arial" w:hAnsi="Arial" w:cs="Arial"/>
          <w:bCs/>
        </w:rPr>
        <w:t xml:space="preserve"> </w:t>
      </w:r>
      <w:r w:rsidR="00866BDE">
        <w:rPr>
          <w:rFonts w:ascii="Arial" w:hAnsi="Arial" w:cs="Arial"/>
          <w:bCs/>
        </w:rPr>
        <w:t xml:space="preserve"> in seguito all’applicazione dei criteri di valutazione,   </w:t>
      </w:r>
      <w:r>
        <w:rPr>
          <w:rFonts w:ascii="Arial" w:hAnsi="Arial" w:cs="Arial"/>
          <w:bCs/>
        </w:rPr>
        <w:t xml:space="preserve">costituiranno economie non utilizzabili negli anni successivi. </w:t>
      </w:r>
    </w:p>
    <w:p w:rsidR="000D02C6" w:rsidRPr="00712AD4" w:rsidRDefault="000D02C6" w:rsidP="000D02C6">
      <w:pPr>
        <w:pStyle w:val="Testo"/>
        <w:ind w:firstLine="0"/>
        <w:rPr>
          <w:rFonts w:ascii="Arial" w:hAnsi="Arial" w:cs="Arial"/>
          <w:bCs/>
        </w:rPr>
      </w:pPr>
      <w:r w:rsidRPr="00712AD4">
        <w:rPr>
          <w:rFonts w:ascii="Arial" w:hAnsi="Arial" w:cs="Arial"/>
          <w:bCs/>
        </w:rPr>
        <w:t xml:space="preserve">L’importo annuo massimo attribuibile per la remunerazione del premio incentivante della </w:t>
      </w:r>
      <w:r w:rsidRPr="00712AD4">
        <w:rPr>
          <w:rFonts w:ascii="Arial" w:hAnsi="Arial" w:cs="Arial"/>
          <w:b/>
          <w:bCs/>
        </w:rPr>
        <w:t>produttività</w:t>
      </w:r>
      <w:r w:rsidRPr="00712AD4">
        <w:rPr>
          <w:rFonts w:ascii="Arial" w:hAnsi="Arial" w:cs="Arial"/>
          <w:bCs/>
        </w:rPr>
        <w:t xml:space="preserve"> è il seguente:</w:t>
      </w:r>
    </w:p>
    <w:p w:rsidR="000D02C6" w:rsidRPr="0031286F" w:rsidRDefault="000D02C6" w:rsidP="000D02C6">
      <w:pPr>
        <w:widowControl w:val="0"/>
        <w:numPr>
          <w:ilvl w:val="0"/>
          <w:numId w:val="6"/>
        </w:numPr>
        <w:tabs>
          <w:tab w:val="decimal" w:leader="dot" w:pos="3402"/>
        </w:tabs>
        <w:spacing w:before="60" w:after="0"/>
        <w:jc w:val="both"/>
        <w:rPr>
          <w:rFonts w:ascii="Arial" w:hAnsi="Arial" w:cs="Arial"/>
          <w:sz w:val="20"/>
          <w:szCs w:val="20"/>
        </w:rPr>
      </w:pPr>
      <w:r w:rsidRPr="0031286F">
        <w:rPr>
          <w:rFonts w:ascii="Arial" w:hAnsi="Arial" w:cs="Arial"/>
          <w:sz w:val="20"/>
          <w:szCs w:val="20"/>
        </w:rPr>
        <w:t>categoria D</w:t>
      </w:r>
      <w:r w:rsidRPr="0031286F">
        <w:rPr>
          <w:rFonts w:ascii="Arial" w:hAnsi="Arial" w:cs="Arial"/>
          <w:sz w:val="20"/>
          <w:szCs w:val="20"/>
        </w:rPr>
        <w:tab/>
        <w:t>€ 1.085,00.</w:t>
      </w:r>
    </w:p>
    <w:p w:rsidR="000D02C6" w:rsidRPr="0031286F" w:rsidRDefault="000D02C6" w:rsidP="000D02C6">
      <w:pPr>
        <w:widowControl w:val="0"/>
        <w:numPr>
          <w:ilvl w:val="0"/>
          <w:numId w:val="6"/>
        </w:numPr>
        <w:tabs>
          <w:tab w:val="decimal" w:leader="dot" w:pos="3402"/>
        </w:tabs>
        <w:spacing w:before="60" w:after="0"/>
        <w:jc w:val="both"/>
        <w:rPr>
          <w:rFonts w:ascii="Arial" w:hAnsi="Arial" w:cs="Arial"/>
          <w:sz w:val="20"/>
          <w:szCs w:val="20"/>
        </w:rPr>
      </w:pPr>
      <w:r w:rsidRPr="0031286F">
        <w:rPr>
          <w:rFonts w:ascii="Arial" w:hAnsi="Arial" w:cs="Arial"/>
          <w:sz w:val="20"/>
          <w:szCs w:val="20"/>
        </w:rPr>
        <w:t>categoria C</w:t>
      </w:r>
      <w:r w:rsidRPr="0031286F">
        <w:rPr>
          <w:rFonts w:ascii="Arial" w:hAnsi="Arial" w:cs="Arial"/>
          <w:sz w:val="20"/>
          <w:szCs w:val="20"/>
        </w:rPr>
        <w:tab/>
        <w:t>€ 725,00.</w:t>
      </w:r>
    </w:p>
    <w:p w:rsidR="000D02C6" w:rsidRPr="0031286F" w:rsidRDefault="000D02C6" w:rsidP="000D02C6">
      <w:pPr>
        <w:widowControl w:val="0"/>
        <w:numPr>
          <w:ilvl w:val="0"/>
          <w:numId w:val="6"/>
        </w:numPr>
        <w:tabs>
          <w:tab w:val="decimal" w:leader="dot" w:pos="3402"/>
        </w:tabs>
        <w:spacing w:before="60" w:after="0"/>
        <w:jc w:val="both"/>
        <w:rPr>
          <w:rFonts w:ascii="Arial" w:hAnsi="Arial" w:cs="Arial"/>
          <w:sz w:val="20"/>
          <w:szCs w:val="20"/>
        </w:rPr>
      </w:pPr>
      <w:r w:rsidRPr="0031286F">
        <w:rPr>
          <w:rFonts w:ascii="Arial" w:hAnsi="Arial" w:cs="Arial"/>
          <w:sz w:val="20"/>
          <w:szCs w:val="20"/>
        </w:rPr>
        <w:t>categoria B</w:t>
      </w:r>
      <w:r w:rsidRPr="0031286F">
        <w:rPr>
          <w:rFonts w:ascii="Arial" w:hAnsi="Arial" w:cs="Arial"/>
          <w:sz w:val="20"/>
          <w:szCs w:val="20"/>
        </w:rPr>
        <w:tab/>
        <w:t>€ 580,00.</w:t>
      </w:r>
    </w:p>
    <w:p w:rsidR="000D02C6" w:rsidRPr="00812404" w:rsidRDefault="000D02C6" w:rsidP="000D02C6">
      <w:pPr>
        <w:tabs>
          <w:tab w:val="decimal" w:leader="dot" w:pos="3402"/>
        </w:tabs>
        <w:spacing w:before="60" w:line="360" w:lineRule="auto"/>
        <w:rPr>
          <w:rFonts w:ascii="Arial" w:hAnsi="Arial" w:cs="Arial"/>
        </w:rPr>
      </w:pPr>
      <w:r>
        <w:rPr>
          <w:rFonts w:ascii="Arial" w:hAnsi="Arial" w:cs="Arial"/>
        </w:rPr>
        <w:t xml:space="preserve">Le economie  che si determineranno non verranno redistribuite.  </w:t>
      </w:r>
    </w:p>
    <w:p w:rsidR="000D02C6" w:rsidRPr="00527B40" w:rsidRDefault="00317E39" w:rsidP="00527B40">
      <w:pPr>
        <w:pStyle w:val="Articolo"/>
        <w:numPr>
          <w:ilvl w:val="0"/>
          <w:numId w:val="0"/>
        </w:numPr>
        <w:rPr>
          <w:rFonts w:ascii="Arial" w:hAnsi="Arial" w:cs="Arial"/>
          <w:b w:val="0"/>
        </w:rPr>
      </w:pPr>
      <w:r w:rsidRPr="00527B40">
        <w:rPr>
          <w:rFonts w:ascii="Arial" w:hAnsi="Arial" w:cs="Arial"/>
          <w:b w:val="0"/>
        </w:rPr>
        <w:t xml:space="preserve">Dall’Articolo </w:t>
      </w:r>
      <w:r w:rsidR="000D02C6" w:rsidRPr="00527B40">
        <w:rPr>
          <w:rFonts w:ascii="Arial" w:hAnsi="Arial" w:cs="Arial"/>
          <w:b w:val="0"/>
        </w:rPr>
        <w:t>5</w:t>
      </w:r>
      <w:r w:rsidRPr="00527B40">
        <w:rPr>
          <w:rFonts w:ascii="Arial" w:hAnsi="Arial" w:cs="Arial"/>
          <w:b w:val="0"/>
        </w:rPr>
        <w:t xml:space="preserve"> inerente “ I compensi  per </w:t>
      </w:r>
      <w:r w:rsidR="000D02C6" w:rsidRPr="00527B40">
        <w:rPr>
          <w:rFonts w:ascii="Arial" w:hAnsi="Arial" w:cs="Arial"/>
          <w:b w:val="0"/>
        </w:rPr>
        <w:t>il miglioramento e/o l’attivazione di serviz</w:t>
      </w:r>
      <w:r w:rsidR="0031286F">
        <w:rPr>
          <w:rFonts w:ascii="Arial" w:hAnsi="Arial" w:cs="Arial"/>
          <w:b w:val="0"/>
        </w:rPr>
        <w:t>”</w:t>
      </w:r>
      <w:r w:rsidR="000D02C6" w:rsidRPr="00527B40">
        <w:rPr>
          <w:rFonts w:ascii="Arial" w:hAnsi="Arial" w:cs="Arial"/>
          <w:b w:val="0"/>
        </w:rPr>
        <w:t>i</w:t>
      </w:r>
      <w:r w:rsidR="00527B40" w:rsidRPr="00527B40">
        <w:rPr>
          <w:rFonts w:ascii="Arial" w:hAnsi="Arial" w:cs="Arial"/>
          <w:b w:val="0"/>
        </w:rPr>
        <w:t xml:space="preserve"> viene </w:t>
      </w:r>
      <w:r w:rsidR="000D02C6" w:rsidRPr="00527B40">
        <w:rPr>
          <w:rFonts w:ascii="Arial" w:hAnsi="Arial" w:cs="Arial"/>
          <w:b w:val="0"/>
        </w:rPr>
        <w:t xml:space="preserve"> destinata la somma di Euro 10.400,00 al finanziamento di specifici programmi di lavoro programmati dalla Gestione Commissariale ed ordinati dal Direttore Generale tendenti al miglioramento dei servizi esistenti o all’attivazione di nuovi servizi o attività di controllo nei confronti del gestore del Servizio Idrico Integrato. L’Attività di controllo può esplicarsi anche con attività interne rivolte alla ricostruzione di dati tecnici e contabili relativi ai Programmi di Investimento approvati dal 2004.  </w:t>
      </w:r>
    </w:p>
    <w:p w:rsidR="000D02C6" w:rsidRPr="00712AD4" w:rsidRDefault="000D02C6" w:rsidP="000D02C6">
      <w:pPr>
        <w:pStyle w:val="Testo"/>
        <w:ind w:firstLine="0"/>
        <w:rPr>
          <w:rFonts w:ascii="Arial" w:hAnsi="Arial" w:cs="Arial"/>
        </w:rPr>
      </w:pPr>
      <w:r w:rsidRPr="00E75678">
        <w:rPr>
          <w:rFonts w:ascii="Arial" w:hAnsi="Arial" w:cs="Arial"/>
        </w:rPr>
        <w:t xml:space="preserve">Per il finanziamento dei programmi di lavoro </w:t>
      </w:r>
      <w:r>
        <w:rPr>
          <w:rFonts w:ascii="Arial" w:hAnsi="Arial" w:cs="Arial"/>
        </w:rPr>
        <w:t xml:space="preserve">verranno utilizzate le risorse precedentemente indicate e tali programmi non dovranno essere sottoposti all’approvazione ne preventiva ne successiva delle organizzazioni sindacali. </w:t>
      </w:r>
      <w:r w:rsidRPr="00712AD4">
        <w:rPr>
          <w:rFonts w:ascii="Arial" w:hAnsi="Arial" w:cs="Arial"/>
        </w:rPr>
        <w:t xml:space="preserve"> </w:t>
      </w:r>
    </w:p>
    <w:p w:rsidR="000D02C6" w:rsidRDefault="000D02C6" w:rsidP="000D02C6">
      <w:pPr>
        <w:pStyle w:val="Testo"/>
        <w:ind w:firstLine="0"/>
        <w:rPr>
          <w:rFonts w:ascii="Arial" w:hAnsi="Arial" w:cs="Arial"/>
        </w:rPr>
      </w:pPr>
      <w:r w:rsidRPr="00712AD4">
        <w:rPr>
          <w:rFonts w:ascii="Arial" w:hAnsi="Arial" w:cs="Arial"/>
        </w:rPr>
        <w:t xml:space="preserve">In assenza di programmi di lavoro, </w:t>
      </w:r>
      <w:r>
        <w:rPr>
          <w:rFonts w:ascii="Arial" w:hAnsi="Arial" w:cs="Arial"/>
        </w:rPr>
        <w:t xml:space="preserve">ordinati dal Direttore, </w:t>
      </w:r>
      <w:r w:rsidRPr="00712AD4">
        <w:rPr>
          <w:rFonts w:ascii="Arial" w:hAnsi="Arial" w:cs="Arial"/>
        </w:rPr>
        <w:t>non potranno essere riconosciute a nessun titolo compensi per</w:t>
      </w:r>
      <w:r>
        <w:rPr>
          <w:rFonts w:ascii="Arial" w:hAnsi="Arial" w:cs="Arial"/>
        </w:rPr>
        <w:t xml:space="preserve"> il miglioramento dei servizi</w:t>
      </w:r>
      <w:r w:rsidRPr="00712AD4">
        <w:rPr>
          <w:rFonts w:ascii="Arial" w:hAnsi="Arial" w:cs="Arial"/>
        </w:rPr>
        <w:t>.</w:t>
      </w:r>
    </w:p>
    <w:p w:rsidR="000D02C6" w:rsidRDefault="000D02C6" w:rsidP="000D02C6">
      <w:pPr>
        <w:pStyle w:val="Testo"/>
        <w:ind w:firstLine="0"/>
        <w:rPr>
          <w:rFonts w:ascii="Arial" w:hAnsi="Arial" w:cs="Arial"/>
        </w:rPr>
      </w:pPr>
      <w:r>
        <w:rPr>
          <w:rFonts w:ascii="Arial" w:hAnsi="Arial" w:cs="Arial"/>
        </w:rPr>
        <w:t xml:space="preserve">Il compenso individuale  del personale coinvolto verrà determinato sulla base della valutazione effettuata dal Direttore Generale   con i criteri indicati nelle schede di valutazione allegate alla presente  con  esclusione del criterio dell’autovalutazione, vigente esclusivamente per la valutazione sull’attività annuale. </w:t>
      </w:r>
    </w:p>
    <w:p w:rsidR="000D02C6" w:rsidRDefault="000D02C6" w:rsidP="000D02C6">
      <w:pPr>
        <w:pStyle w:val="Testo"/>
        <w:ind w:firstLine="0"/>
        <w:rPr>
          <w:rFonts w:ascii="Arial" w:hAnsi="Arial" w:cs="Arial"/>
        </w:rPr>
      </w:pPr>
      <w:r>
        <w:rPr>
          <w:rFonts w:ascii="Arial" w:hAnsi="Arial" w:cs="Arial"/>
        </w:rPr>
        <w:t>Al fine della ripartizione della somma di euro 10.400,00 tra il personale coinvolto nei progetti finalizzati alle attività su indicate verranno applicati i seguenti criteri</w:t>
      </w:r>
      <w:r w:rsidR="0031286F">
        <w:rPr>
          <w:rFonts w:ascii="Arial" w:hAnsi="Arial" w:cs="Arial"/>
        </w:rPr>
        <w:t>:</w:t>
      </w:r>
      <w:r>
        <w:rPr>
          <w:rFonts w:ascii="Arial" w:hAnsi="Arial" w:cs="Arial"/>
        </w:rPr>
        <w:t>.</w:t>
      </w:r>
    </w:p>
    <w:p w:rsidR="000D02C6" w:rsidRDefault="000D02C6" w:rsidP="000D02C6">
      <w:pPr>
        <w:pStyle w:val="Testo"/>
        <w:ind w:firstLine="0"/>
        <w:rPr>
          <w:rFonts w:ascii="Arial" w:hAnsi="Arial" w:cs="Arial"/>
        </w:rPr>
      </w:pPr>
      <w:r>
        <w:rPr>
          <w:rFonts w:ascii="Arial" w:hAnsi="Arial" w:cs="Arial"/>
        </w:rPr>
        <w:t xml:space="preserve">PRIMA FASCIA: verrà destinato un importo pari o superiore al 50% delle somme complessive e verrà ripartito tra il personale che avrà conseguito una valutazione eccellente pari a 100 punti  nel programma di </w:t>
      </w:r>
      <w:r>
        <w:rPr>
          <w:rFonts w:ascii="Arial" w:hAnsi="Arial" w:cs="Arial"/>
        </w:rPr>
        <w:lastRenderedPageBreak/>
        <w:t xml:space="preserve">lavoro con una ripartizione tra le diverse categorie ( max 1.850,00 cat. D – max 1.650,00 cat C – max 1.500,00 cat.B) </w:t>
      </w:r>
    </w:p>
    <w:p w:rsidR="000D02C6" w:rsidRDefault="000D02C6" w:rsidP="000D02C6">
      <w:pPr>
        <w:pStyle w:val="Testo"/>
        <w:ind w:firstLine="0"/>
        <w:rPr>
          <w:rFonts w:ascii="Arial" w:hAnsi="Arial" w:cs="Arial"/>
        </w:rPr>
      </w:pPr>
      <w:r>
        <w:rPr>
          <w:rFonts w:ascii="Arial" w:hAnsi="Arial" w:cs="Arial"/>
        </w:rPr>
        <w:t>SECONDA FASCIA: verrà destinato un importo non inferiore al   25  % delle somme complessive e verrà ripartito tra il personale che avrà conseguito una valutazione compresa  tra 90 e 99 nel programma di lavoro con una ripartizione tra le diverse categorie (max 1.400,00 cat. D – max 1.200,00 cat C – max 1.000,00 cat. B)</w:t>
      </w:r>
    </w:p>
    <w:p w:rsidR="000D02C6" w:rsidRDefault="000D02C6" w:rsidP="000D02C6">
      <w:pPr>
        <w:pStyle w:val="Testo"/>
        <w:ind w:firstLine="0"/>
        <w:rPr>
          <w:rFonts w:ascii="Arial" w:hAnsi="Arial" w:cs="Arial"/>
        </w:rPr>
      </w:pPr>
      <w:r>
        <w:rPr>
          <w:rFonts w:ascii="Arial" w:hAnsi="Arial" w:cs="Arial"/>
        </w:rPr>
        <w:t>TERZA FASCIA: verrà destinato un importo non superiore  al   25  % delle somme complessive e verrà ripartito tra il personale che avrà conseguito una valutazione buona compresa tra 80 e 89 punti  nel programma di lavoro con una ripartizione tra le diverse categorie ( max 1.000,0 cat. D – max 800,00 cat C – max 600,00 cat. B )</w:t>
      </w:r>
      <w:r w:rsidR="006D1099">
        <w:rPr>
          <w:rFonts w:ascii="Arial" w:hAnsi="Arial" w:cs="Arial"/>
        </w:rPr>
        <w:t>.</w:t>
      </w:r>
    </w:p>
    <w:p w:rsidR="000D02C6" w:rsidRPr="0031286F" w:rsidRDefault="000D02C6" w:rsidP="000D02C6">
      <w:pPr>
        <w:pStyle w:val="Testo"/>
        <w:ind w:firstLine="0"/>
        <w:rPr>
          <w:rFonts w:ascii="Arial" w:hAnsi="Arial" w:cs="Arial"/>
        </w:rPr>
      </w:pPr>
      <w:r w:rsidRPr="0031286F">
        <w:rPr>
          <w:rFonts w:ascii="Arial" w:hAnsi="Arial" w:cs="Arial"/>
        </w:rPr>
        <w:t xml:space="preserve">Eventuali economie all’interno delle fasce non verranno ridistribuite. </w:t>
      </w:r>
    </w:p>
    <w:p w:rsidR="00317E39" w:rsidRPr="0031286F" w:rsidRDefault="00317E39" w:rsidP="00317E39">
      <w:pPr>
        <w:pStyle w:val="Articolo"/>
        <w:numPr>
          <w:ilvl w:val="0"/>
          <w:numId w:val="0"/>
        </w:numPr>
        <w:rPr>
          <w:rFonts w:ascii="Arial" w:hAnsi="Arial" w:cs="Arial"/>
          <w:b w:val="0"/>
        </w:rPr>
      </w:pPr>
      <w:r w:rsidRPr="0031286F">
        <w:rPr>
          <w:rFonts w:ascii="Arial" w:hAnsi="Arial" w:cs="Arial"/>
          <w:b w:val="0"/>
        </w:rPr>
        <w:t>I Compensi per particolari responsabilità sono trattati all’articolo 6 . Si prevede che il  personale della categoria D, non incaricato di posizione organizzativa, e il personale della categoria C e B, qualora venga incaricato di compiti che comportino specifiche responsabilità, può percepire, nei limiti delle risorse a tal fine destinate, un’indennità che compensi la particolare responsabilità attribuita commisurata al periodo di effettivo svolgimento dei relativi compiti e funzioni.</w:t>
      </w:r>
    </w:p>
    <w:p w:rsidR="00317E39" w:rsidRPr="0031286F" w:rsidRDefault="00317E39" w:rsidP="00317E39">
      <w:pPr>
        <w:pStyle w:val="Testo"/>
        <w:ind w:firstLine="0"/>
        <w:rPr>
          <w:rFonts w:ascii="Arial" w:hAnsi="Arial" w:cs="Arial"/>
        </w:rPr>
      </w:pPr>
      <w:r w:rsidRPr="0031286F">
        <w:rPr>
          <w:rFonts w:ascii="Arial" w:hAnsi="Arial" w:cs="Arial"/>
        </w:rPr>
        <w:t>Sono considerati compiti di particolare responsabilità quelli che comportano:</w:t>
      </w:r>
    </w:p>
    <w:p w:rsidR="00317E39" w:rsidRPr="0031286F" w:rsidRDefault="00317E39" w:rsidP="00317E39">
      <w:pPr>
        <w:widowControl w:val="0"/>
        <w:numPr>
          <w:ilvl w:val="0"/>
          <w:numId w:val="4"/>
        </w:numPr>
        <w:tabs>
          <w:tab w:val="clear" w:pos="849"/>
          <w:tab w:val="num" w:pos="284"/>
        </w:tabs>
        <w:spacing w:before="60" w:after="0" w:line="360" w:lineRule="auto"/>
        <w:ind w:left="284" w:hanging="284"/>
        <w:jc w:val="both"/>
        <w:rPr>
          <w:rFonts w:ascii="Arial" w:hAnsi="Arial" w:cs="Arial"/>
          <w:sz w:val="20"/>
          <w:szCs w:val="20"/>
        </w:rPr>
      </w:pPr>
      <w:r w:rsidRPr="0031286F">
        <w:rPr>
          <w:rFonts w:ascii="Arial" w:hAnsi="Arial" w:cs="Arial"/>
          <w:sz w:val="20"/>
          <w:szCs w:val="20"/>
        </w:rPr>
        <w:t>Verifica tecnica di progetti preliminari, definitivi ed esecutivi presentati dal gestore e relativi procedimenti espropriativi, attività propedeutica all’approvazione di detti progetti da parte di codesto dell’Ente;</w:t>
      </w:r>
    </w:p>
    <w:p w:rsidR="00317E39" w:rsidRPr="0031286F" w:rsidRDefault="00317E39" w:rsidP="00317E39">
      <w:pPr>
        <w:widowControl w:val="0"/>
        <w:numPr>
          <w:ilvl w:val="0"/>
          <w:numId w:val="4"/>
        </w:numPr>
        <w:tabs>
          <w:tab w:val="clear" w:pos="849"/>
          <w:tab w:val="num" w:pos="284"/>
        </w:tabs>
        <w:spacing w:before="60" w:after="0" w:line="360" w:lineRule="auto"/>
        <w:ind w:left="284" w:hanging="284"/>
        <w:jc w:val="both"/>
        <w:rPr>
          <w:rFonts w:ascii="Arial" w:hAnsi="Arial" w:cs="Arial"/>
          <w:sz w:val="20"/>
          <w:szCs w:val="20"/>
        </w:rPr>
      </w:pPr>
      <w:r w:rsidRPr="0031286F">
        <w:rPr>
          <w:rFonts w:ascii="Arial" w:hAnsi="Arial" w:cs="Arial"/>
          <w:sz w:val="20"/>
          <w:szCs w:val="20"/>
        </w:rPr>
        <w:t>Verifica Tecnico Contabile dei S.A.L. delle opere pubbliche e spese generali da liquidare al gestore.</w:t>
      </w:r>
    </w:p>
    <w:p w:rsidR="00317E39" w:rsidRPr="0031286F" w:rsidRDefault="00317E39" w:rsidP="00317E39">
      <w:pPr>
        <w:widowControl w:val="0"/>
        <w:numPr>
          <w:ilvl w:val="0"/>
          <w:numId w:val="4"/>
        </w:numPr>
        <w:tabs>
          <w:tab w:val="clear" w:pos="849"/>
          <w:tab w:val="num" w:pos="284"/>
        </w:tabs>
        <w:spacing w:before="60" w:after="0" w:line="360" w:lineRule="auto"/>
        <w:ind w:left="284" w:hanging="284"/>
        <w:jc w:val="both"/>
        <w:rPr>
          <w:rFonts w:ascii="Arial" w:hAnsi="Arial" w:cs="Arial"/>
          <w:sz w:val="20"/>
          <w:szCs w:val="20"/>
        </w:rPr>
      </w:pPr>
      <w:r w:rsidRPr="0031286F">
        <w:rPr>
          <w:rFonts w:ascii="Arial" w:hAnsi="Arial" w:cs="Arial"/>
          <w:sz w:val="20"/>
          <w:szCs w:val="20"/>
        </w:rPr>
        <w:t>rapporti diretti con l’Agenzia delle Entrate e con gli Enti previdenziali e assistenziali;</w:t>
      </w:r>
    </w:p>
    <w:p w:rsidR="00317E39" w:rsidRPr="0031286F" w:rsidRDefault="00317E39" w:rsidP="00317E39">
      <w:pPr>
        <w:widowControl w:val="0"/>
        <w:numPr>
          <w:ilvl w:val="0"/>
          <w:numId w:val="4"/>
        </w:numPr>
        <w:tabs>
          <w:tab w:val="clear" w:pos="849"/>
          <w:tab w:val="num" w:pos="284"/>
        </w:tabs>
        <w:spacing w:before="60" w:after="0" w:line="360" w:lineRule="auto"/>
        <w:ind w:left="284" w:hanging="284"/>
        <w:jc w:val="both"/>
        <w:rPr>
          <w:rFonts w:ascii="Arial" w:hAnsi="Arial" w:cs="Arial"/>
          <w:sz w:val="20"/>
          <w:szCs w:val="20"/>
        </w:rPr>
      </w:pPr>
      <w:r w:rsidRPr="0031286F">
        <w:rPr>
          <w:rFonts w:ascii="Arial" w:hAnsi="Arial" w:cs="Arial"/>
          <w:sz w:val="20"/>
          <w:szCs w:val="20"/>
        </w:rPr>
        <w:t>il coordinamento di gruppi di lavoro;</w:t>
      </w:r>
    </w:p>
    <w:p w:rsidR="00317E39" w:rsidRPr="0031286F" w:rsidRDefault="00317E39" w:rsidP="00317E39">
      <w:pPr>
        <w:widowControl w:val="0"/>
        <w:numPr>
          <w:ilvl w:val="0"/>
          <w:numId w:val="4"/>
        </w:numPr>
        <w:tabs>
          <w:tab w:val="clear" w:pos="849"/>
          <w:tab w:val="num" w:pos="284"/>
        </w:tabs>
        <w:spacing w:before="60" w:after="0" w:line="360" w:lineRule="auto"/>
        <w:ind w:left="284" w:hanging="284"/>
        <w:jc w:val="both"/>
        <w:rPr>
          <w:rFonts w:ascii="Arial" w:hAnsi="Arial" w:cs="Arial"/>
          <w:sz w:val="20"/>
          <w:szCs w:val="20"/>
        </w:rPr>
      </w:pPr>
      <w:r w:rsidRPr="0031286F">
        <w:rPr>
          <w:rFonts w:ascii="Arial" w:hAnsi="Arial" w:cs="Arial"/>
          <w:sz w:val="20"/>
          <w:szCs w:val="20"/>
        </w:rPr>
        <w:t>l’attribuzione della funzione di segretario verbalizzante in organi, comitati o commissioni istituite dall’Amministrazione e ogni atto complesso  che verrà certificato in dettaglio.</w:t>
      </w:r>
    </w:p>
    <w:p w:rsidR="00317E39" w:rsidRPr="0031286F" w:rsidRDefault="00317E39" w:rsidP="00317E39">
      <w:pPr>
        <w:pStyle w:val="Testo"/>
        <w:ind w:firstLine="0"/>
        <w:rPr>
          <w:rFonts w:ascii="Arial" w:hAnsi="Arial" w:cs="Arial"/>
        </w:rPr>
      </w:pPr>
      <w:r w:rsidRPr="0031286F">
        <w:rPr>
          <w:rFonts w:ascii="Arial" w:hAnsi="Arial" w:cs="Arial"/>
        </w:rPr>
        <w:t>Al fine del riconoscimento di detta indennità, il dirigente competente deve certificare le attività di particolare responsabilità attribuite ed effettivamente svolte nel corso dell’anno.</w:t>
      </w:r>
    </w:p>
    <w:p w:rsidR="00317E39" w:rsidRPr="0031286F" w:rsidRDefault="00317E39" w:rsidP="00317E39">
      <w:pPr>
        <w:pStyle w:val="Testo"/>
        <w:ind w:firstLine="0"/>
        <w:rPr>
          <w:rFonts w:ascii="Arial" w:hAnsi="Arial" w:cs="Arial"/>
        </w:rPr>
      </w:pPr>
      <w:r w:rsidRPr="0031286F">
        <w:rPr>
          <w:rFonts w:ascii="Arial" w:hAnsi="Arial" w:cs="Arial"/>
        </w:rPr>
        <w:t>L’importo annuo massimo attribuibile per la remunerazione dei compiti che comportino specifiche responsabilità è il seguente:</w:t>
      </w:r>
    </w:p>
    <w:p w:rsidR="00317E39" w:rsidRPr="0031286F" w:rsidRDefault="00317E39" w:rsidP="00317E39">
      <w:pPr>
        <w:widowControl w:val="0"/>
        <w:numPr>
          <w:ilvl w:val="0"/>
          <w:numId w:val="3"/>
        </w:numPr>
        <w:tabs>
          <w:tab w:val="clear" w:pos="849"/>
          <w:tab w:val="num" w:pos="284"/>
          <w:tab w:val="decimal" w:leader="dot" w:pos="3402"/>
        </w:tabs>
        <w:spacing w:before="60" w:after="0" w:line="360" w:lineRule="auto"/>
        <w:ind w:left="284" w:hanging="284"/>
        <w:jc w:val="both"/>
        <w:rPr>
          <w:rFonts w:ascii="Arial" w:hAnsi="Arial" w:cs="Arial"/>
          <w:sz w:val="20"/>
          <w:szCs w:val="20"/>
        </w:rPr>
      </w:pPr>
      <w:r w:rsidRPr="0031286F">
        <w:rPr>
          <w:rFonts w:ascii="Arial" w:hAnsi="Arial" w:cs="Arial"/>
          <w:sz w:val="20"/>
          <w:szCs w:val="20"/>
        </w:rPr>
        <w:t>categoria D</w:t>
      </w:r>
      <w:r w:rsidRPr="0031286F">
        <w:rPr>
          <w:rFonts w:ascii="Arial" w:hAnsi="Arial" w:cs="Arial"/>
          <w:sz w:val="20"/>
          <w:szCs w:val="20"/>
        </w:rPr>
        <w:tab/>
        <w:t>€ 2.500,00.</w:t>
      </w:r>
    </w:p>
    <w:p w:rsidR="00317E39" w:rsidRPr="0031286F" w:rsidRDefault="00317E39" w:rsidP="00317E39">
      <w:pPr>
        <w:widowControl w:val="0"/>
        <w:numPr>
          <w:ilvl w:val="0"/>
          <w:numId w:val="3"/>
        </w:numPr>
        <w:tabs>
          <w:tab w:val="clear" w:pos="849"/>
          <w:tab w:val="num" w:pos="284"/>
          <w:tab w:val="decimal" w:leader="dot" w:pos="3402"/>
        </w:tabs>
        <w:spacing w:before="60" w:after="0" w:line="360" w:lineRule="auto"/>
        <w:ind w:left="284" w:hanging="284"/>
        <w:jc w:val="both"/>
        <w:rPr>
          <w:rFonts w:ascii="Arial" w:hAnsi="Arial" w:cs="Arial"/>
          <w:sz w:val="20"/>
          <w:szCs w:val="20"/>
        </w:rPr>
      </w:pPr>
      <w:r w:rsidRPr="0031286F">
        <w:rPr>
          <w:rFonts w:ascii="Arial" w:hAnsi="Arial" w:cs="Arial"/>
          <w:sz w:val="20"/>
          <w:szCs w:val="20"/>
        </w:rPr>
        <w:t>categoria C</w:t>
      </w:r>
      <w:r w:rsidRPr="0031286F">
        <w:rPr>
          <w:rFonts w:ascii="Arial" w:hAnsi="Arial" w:cs="Arial"/>
          <w:sz w:val="20"/>
          <w:szCs w:val="20"/>
        </w:rPr>
        <w:tab/>
        <w:t>€ 1.000,00.</w:t>
      </w:r>
    </w:p>
    <w:p w:rsidR="00317E39" w:rsidRPr="0031286F" w:rsidRDefault="00317E39" w:rsidP="00317E39">
      <w:pPr>
        <w:widowControl w:val="0"/>
        <w:numPr>
          <w:ilvl w:val="0"/>
          <w:numId w:val="3"/>
        </w:numPr>
        <w:tabs>
          <w:tab w:val="clear" w:pos="849"/>
          <w:tab w:val="num" w:pos="284"/>
          <w:tab w:val="decimal" w:leader="dot" w:pos="3402"/>
        </w:tabs>
        <w:spacing w:before="60" w:after="0" w:line="360" w:lineRule="auto"/>
        <w:ind w:left="284" w:hanging="284"/>
        <w:jc w:val="both"/>
        <w:rPr>
          <w:rFonts w:ascii="Arial" w:hAnsi="Arial" w:cs="Arial"/>
          <w:sz w:val="20"/>
          <w:szCs w:val="20"/>
        </w:rPr>
      </w:pPr>
      <w:r w:rsidRPr="0031286F">
        <w:rPr>
          <w:rFonts w:ascii="Arial" w:hAnsi="Arial" w:cs="Arial"/>
          <w:sz w:val="20"/>
          <w:szCs w:val="20"/>
        </w:rPr>
        <w:t>categoria B</w:t>
      </w:r>
      <w:r w:rsidRPr="0031286F">
        <w:rPr>
          <w:rFonts w:ascii="Arial" w:hAnsi="Arial" w:cs="Arial"/>
          <w:sz w:val="20"/>
          <w:szCs w:val="20"/>
        </w:rPr>
        <w:tab/>
        <w:t>€ 1.000,00.</w:t>
      </w:r>
    </w:p>
    <w:p w:rsidR="00317E39" w:rsidRDefault="00317E39" w:rsidP="00317E39">
      <w:pPr>
        <w:pStyle w:val="Testo"/>
        <w:ind w:firstLine="0"/>
        <w:rPr>
          <w:rFonts w:ascii="Arial" w:hAnsi="Arial" w:cs="Arial"/>
        </w:rPr>
      </w:pPr>
      <w:r w:rsidRPr="00712AD4">
        <w:rPr>
          <w:rFonts w:ascii="Arial" w:hAnsi="Arial" w:cs="Arial"/>
        </w:rPr>
        <w:t>Le somme possono essere riconosciute ed assegnate solo ed esclusivamente nel limite del budget disponibile e residuale rispetto al pagamento degli altri istituti previsti nel presente contratto.</w:t>
      </w:r>
      <w:r w:rsidRPr="00567CD0">
        <w:rPr>
          <w:rFonts w:ascii="Arial" w:hAnsi="Arial" w:cs="Arial"/>
        </w:rPr>
        <w:t xml:space="preserve"> </w:t>
      </w:r>
    </w:p>
    <w:p w:rsidR="00317E39" w:rsidRPr="00317E39" w:rsidRDefault="00317E39" w:rsidP="00317E39">
      <w:pPr>
        <w:pStyle w:val="Articolo"/>
        <w:numPr>
          <w:ilvl w:val="0"/>
          <w:numId w:val="0"/>
        </w:numPr>
        <w:rPr>
          <w:rFonts w:ascii="Arial" w:hAnsi="Arial" w:cs="Arial"/>
          <w:b w:val="0"/>
        </w:rPr>
      </w:pPr>
      <w:r w:rsidRPr="00317E39">
        <w:rPr>
          <w:rFonts w:ascii="Arial" w:hAnsi="Arial" w:cs="Arial"/>
          <w:b w:val="0"/>
        </w:rPr>
        <w:lastRenderedPageBreak/>
        <w:t xml:space="preserve">L’Orario di servizio ed il riconoscimento dei buoni pasto vengono trattati all’articolo 7. L’Orario di servizio settimanale è di norma distribuito in cinque giorni, dal Lunedi al Venerdi, normalmente con sei ore antimeridiane e con due rientri pomeridiani di tre ore. </w:t>
      </w:r>
    </w:p>
    <w:p w:rsidR="00317E39" w:rsidRPr="00567CD0" w:rsidRDefault="00317E39" w:rsidP="00317E39">
      <w:pPr>
        <w:pStyle w:val="Testo"/>
        <w:ind w:firstLine="0"/>
        <w:rPr>
          <w:rFonts w:ascii="Arial" w:hAnsi="Arial" w:cs="Arial"/>
        </w:rPr>
      </w:pPr>
      <w:r w:rsidRPr="00567CD0">
        <w:rPr>
          <w:rFonts w:ascii="Arial" w:hAnsi="Arial" w:cs="Arial"/>
        </w:rPr>
        <w:t xml:space="preserve">La distribuzione dell’orario di lavoro è improntata a criteri di flessibilità che  in questo caso consiste nel posticipare l’orario di entrate nell’articolazione antimeridiana e di  anticipare l’orario di uscita nell’articolazione pomeridiana , limitando al nucleo centrale dell’orario la contemporanea presenza in servizio  di tutto il personale addetto alla medesima struttura. </w:t>
      </w:r>
    </w:p>
    <w:p w:rsidR="00317E39" w:rsidRPr="00567CD0" w:rsidRDefault="00317E39" w:rsidP="00317E39">
      <w:pPr>
        <w:pStyle w:val="Testo"/>
        <w:ind w:firstLine="0"/>
        <w:rPr>
          <w:rFonts w:ascii="Arial" w:hAnsi="Arial" w:cs="Arial"/>
        </w:rPr>
      </w:pPr>
      <w:r w:rsidRPr="00567CD0">
        <w:rPr>
          <w:rFonts w:ascii="Arial" w:hAnsi="Arial" w:cs="Arial"/>
        </w:rPr>
        <w:t>Il nucleo centrale dell’orario di lavoro  viene generalmente stabilito  dalle ore 9,00 alle ore 14,00  al mattino e dalle ore 15,30 alle ore 17,30 al pomeriggio.</w:t>
      </w:r>
    </w:p>
    <w:p w:rsidR="00317E39" w:rsidRPr="00567CD0" w:rsidRDefault="00317E39" w:rsidP="00317E39">
      <w:pPr>
        <w:pStyle w:val="Testo"/>
        <w:ind w:firstLine="0"/>
        <w:rPr>
          <w:rFonts w:ascii="Arial" w:hAnsi="Arial" w:cs="Arial"/>
        </w:rPr>
      </w:pPr>
      <w:r w:rsidRPr="00567CD0">
        <w:rPr>
          <w:rFonts w:ascii="Arial" w:hAnsi="Arial" w:cs="Arial"/>
        </w:rPr>
        <w:t>Il  personale dipendente sia con contratto a tempo indeterminato sia a tempo determinato ha diritto a percepire un buono pasto del valore di euro 5,27. Il diritto al buono pasto scaturisce dal manifestarsi congiunto delle seguenti condizioni:</w:t>
      </w:r>
    </w:p>
    <w:p w:rsidR="00317E39" w:rsidRPr="00712AD4" w:rsidRDefault="00317E39" w:rsidP="00317E39">
      <w:pPr>
        <w:pStyle w:val="Articolo"/>
        <w:numPr>
          <w:ilvl w:val="0"/>
          <w:numId w:val="7"/>
        </w:numPr>
        <w:ind w:left="284" w:hanging="284"/>
        <w:rPr>
          <w:rFonts w:ascii="Arial" w:hAnsi="Arial" w:cs="Arial"/>
          <w:b w:val="0"/>
        </w:rPr>
      </w:pPr>
      <w:r w:rsidRPr="00712AD4">
        <w:rPr>
          <w:rFonts w:ascii="Arial" w:hAnsi="Arial" w:cs="Arial"/>
          <w:b w:val="0"/>
        </w:rPr>
        <w:t>attività lavorativa svolta con rientro pomeridiano</w:t>
      </w:r>
      <w:r>
        <w:rPr>
          <w:rFonts w:ascii="Arial" w:hAnsi="Arial" w:cs="Arial"/>
          <w:b w:val="0"/>
        </w:rPr>
        <w:t>;</w:t>
      </w:r>
    </w:p>
    <w:p w:rsidR="00317E39" w:rsidRPr="00712AD4" w:rsidRDefault="00317E39" w:rsidP="00317E39">
      <w:pPr>
        <w:pStyle w:val="Articolo"/>
        <w:numPr>
          <w:ilvl w:val="0"/>
          <w:numId w:val="7"/>
        </w:numPr>
        <w:ind w:left="284" w:hanging="284"/>
        <w:rPr>
          <w:rFonts w:ascii="Arial" w:hAnsi="Arial" w:cs="Arial"/>
          <w:b w:val="0"/>
        </w:rPr>
      </w:pPr>
      <w:r w:rsidRPr="00712AD4">
        <w:rPr>
          <w:rFonts w:ascii="Arial" w:hAnsi="Arial" w:cs="Arial"/>
          <w:b w:val="0"/>
        </w:rPr>
        <w:t>rientro pomeridiano non inferiore a due ore</w:t>
      </w:r>
      <w:r>
        <w:rPr>
          <w:rFonts w:ascii="Arial" w:hAnsi="Arial" w:cs="Arial"/>
          <w:b w:val="0"/>
        </w:rPr>
        <w:t>;</w:t>
      </w:r>
    </w:p>
    <w:p w:rsidR="00317E39" w:rsidRPr="00712AD4" w:rsidRDefault="00317E39" w:rsidP="00317E39">
      <w:pPr>
        <w:pStyle w:val="Articolo"/>
        <w:numPr>
          <w:ilvl w:val="0"/>
          <w:numId w:val="7"/>
        </w:numPr>
        <w:ind w:left="284" w:hanging="284"/>
        <w:jc w:val="left"/>
        <w:rPr>
          <w:rFonts w:ascii="Arial" w:hAnsi="Arial" w:cs="Arial"/>
          <w:b w:val="0"/>
        </w:rPr>
      </w:pPr>
      <w:r w:rsidRPr="00712AD4">
        <w:rPr>
          <w:rFonts w:ascii="Arial" w:hAnsi="Arial" w:cs="Arial"/>
          <w:b w:val="0"/>
        </w:rPr>
        <w:t>pausa pranzo, derivante da sistema rilevazione presenze, non inferiore a 30 minuti e non superiore a due ore.</w:t>
      </w:r>
    </w:p>
    <w:p w:rsidR="00317E39" w:rsidRPr="00317E39" w:rsidRDefault="00317E39" w:rsidP="00317E39">
      <w:pPr>
        <w:pStyle w:val="Articolo"/>
        <w:numPr>
          <w:ilvl w:val="0"/>
          <w:numId w:val="0"/>
        </w:numPr>
        <w:rPr>
          <w:rFonts w:ascii="Arial" w:hAnsi="Arial" w:cs="Arial"/>
          <w:b w:val="0"/>
        </w:rPr>
      </w:pPr>
      <w:r w:rsidRPr="00317E39">
        <w:rPr>
          <w:rFonts w:ascii="Arial" w:hAnsi="Arial" w:cs="Arial"/>
          <w:b w:val="0"/>
        </w:rPr>
        <w:t>Mentre all’articolo 8 si tratta il riconoscimento dell’indennità di maneggio valori , riconosciuta all’economo, o ad altro agente contabile, per i giorni di effettivo servizio, un compenso giornaliero pari a euro 1,54.</w:t>
      </w:r>
    </w:p>
    <w:p w:rsidR="0031286F" w:rsidRPr="00712AD4" w:rsidRDefault="0031286F" w:rsidP="0031286F">
      <w:pPr>
        <w:pStyle w:val="Testo"/>
        <w:ind w:firstLine="0"/>
        <w:rPr>
          <w:rFonts w:ascii="Arial" w:hAnsi="Arial" w:cs="Arial"/>
          <w:color w:val="000000"/>
        </w:rPr>
      </w:pPr>
      <w:r>
        <w:rPr>
          <w:rFonts w:ascii="Arial" w:hAnsi="Arial" w:cs="Arial"/>
          <w:color w:val="000000"/>
        </w:rPr>
        <w:t xml:space="preserve">L’Ultima parte dell’articolo 8 prevede che le </w:t>
      </w:r>
      <w:r w:rsidRPr="00712AD4">
        <w:rPr>
          <w:rFonts w:ascii="Arial" w:hAnsi="Arial" w:cs="Arial"/>
          <w:color w:val="000000"/>
        </w:rPr>
        <w:t>clausole contrattuali riportate nel presente contratto</w:t>
      </w:r>
      <w:r>
        <w:rPr>
          <w:rFonts w:ascii="Arial" w:hAnsi="Arial" w:cs="Arial"/>
          <w:color w:val="000000"/>
        </w:rPr>
        <w:t xml:space="preserve"> </w:t>
      </w:r>
      <w:r w:rsidRPr="00712AD4">
        <w:rPr>
          <w:rFonts w:ascii="Arial" w:hAnsi="Arial" w:cs="Arial"/>
          <w:color w:val="000000"/>
        </w:rPr>
        <w:t xml:space="preserve"> </w:t>
      </w:r>
      <w:r>
        <w:rPr>
          <w:rFonts w:ascii="Arial" w:hAnsi="Arial" w:cs="Arial"/>
          <w:color w:val="000000"/>
        </w:rPr>
        <w:t>troveranno</w:t>
      </w:r>
      <w:r w:rsidRPr="00712AD4">
        <w:rPr>
          <w:rFonts w:ascii="Arial" w:hAnsi="Arial" w:cs="Arial"/>
          <w:color w:val="000000"/>
        </w:rPr>
        <w:t xml:space="preserve"> applicazione</w:t>
      </w:r>
      <w:r>
        <w:rPr>
          <w:rFonts w:ascii="Arial" w:hAnsi="Arial" w:cs="Arial"/>
          <w:color w:val="000000"/>
        </w:rPr>
        <w:t>,</w:t>
      </w:r>
      <w:r w:rsidRPr="00712AD4">
        <w:rPr>
          <w:rFonts w:ascii="Arial" w:hAnsi="Arial" w:cs="Arial"/>
          <w:color w:val="000000"/>
        </w:rPr>
        <w:t xml:space="preserve"> in caso di proroga della Gestione Commissariale per la regolazione del Servizio Idrico Integrato della Sardegna</w:t>
      </w:r>
      <w:r>
        <w:rPr>
          <w:rFonts w:ascii="Arial" w:hAnsi="Arial" w:cs="Arial"/>
          <w:color w:val="000000"/>
        </w:rPr>
        <w:t>, anche nell’</w:t>
      </w:r>
      <w:r w:rsidRPr="00712AD4">
        <w:rPr>
          <w:rFonts w:ascii="Arial" w:hAnsi="Arial" w:cs="Arial"/>
          <w:color w:val="000000"/>
        </w:rPr>
        <w:t>esercizio 2014</w:t>
      </w:r>
      <w:r>
        <w:rPr>
          <w:rFonts w:ascii="Arial" w:hAnsi="Arial" w:cs="Arial"/>
          <w:color w:val="000000"/>
        </w:rPr>
        <w:t xml:space="preserve"> compatibilmente con la normativa vigente</w:t>
      </w:r>
      <w:r w:rsidRPr="00712AD4">
        <w:rPr>
          <w:rFonts w:ascii="Arial" w:hAnsi="Arial" w:cs="Arial"/>
          <w:color w:val="000000"/>
        </w:rPr>
        <w:t xml:space="preserve">.   </w:t>
      </w:r>
    </w:p>
    <w:p w:rsidR="00A613BB" w:rsidRDefault="00A613BB" w:rsidP="00A613BB">
      <w:pPr>
        <w:autoSpaceDE w:val="0"/>
        <w:autoSpaceDN w:val="0"/>
        <w:adjustRightInd w:val="0"/>
        <w:spacing w:after="0" w:line="240" w:lineRule="auto"/>
        <w:rPr>
          <w:rFonts w:ascii="Calibri-Italic" w:hAnsi="Calibri-Italic" w:cs="Calibri-Italic"/>
          <w:i/>
          <w:iCs/>
          <w:color w:val="0F0F0F"/>
        </w:rPr>
      </w:pPr>
    </w:p>
    <w:p w:rsidR="00A613BB" w:rsidRPr="001C7C1B" w:rsidRDefault="00A613BB" w:rsidP="00A613BB">
      <w:pPr>
        <w:autoSpaceDE w:val="0"/>
        <w:autoSpaceDN w:val="0"/>
        <w:adjustRightInd w:val="0"/>
        <w:spacing w:after="0" w:line="240" w:lineRule="auto"/>
        <w:rPr>
          <w:rFonts w:ascii="Tempus Sans ITC" w:hAnsi="Tempus Sans ITC" w:cs="Calibri"/>
          <w:color w:val="000000"/>
        </w:rPr>
      </w:pPr>
      <w:r>
        <w:rPr>
          <w:rFonts w:ascii="Tempus Sans ITC" w:hAnsi="Tempus Sans ITC" w:cs="Calibri"/>
          <w:color w:val="000000"/>
        </w:rPr>
        <w:t>b)</w:t>
      </w:r>
      <w:r w:rsidRPr="001C7C1B">
        <w:rPr>
          <w:rFonts w:ascii="Tempus Sans ITC" w:hAnsi="Tempus Sans ITC" w:cs="Calibri"/>
          <w:color w:val="000000"/>
        </w:rPr>
        <w:t>quadro di sintesi delle modalità di utilizzo da parte della contrattazione integrativa delle risorse del Fondo unico di amministrazione;</w:t>
      </w:r>
    </w:p>
    <w:p w:rsidR="00A613BB" w:rsidRDefault="00A613BB" w:rsidP="00A613BB">
      <w:pPr>
        <w:autoSpaceDE w:val="0"/>
        <w:autoSpaceDN w:val="0"/>
        <w:adjustRightInd w:val="0"/>
        <w:spacing w:after="0" w:line="240" w:lineRule="auto"/>
        <w:ind w:left="709"/>
        <w:rPr>
          <w:rFonts w:ascii="Bradley Hand ITC" w:hAnsi="Bradley Hand ITC" w:cs="Calibri"/>
          <w:color w:val="000000"/>
          <w:highlight w:val="yellow"/>
        </w:rPr>
      </w:pPr>
    </w:p>
    <w:tbl>
      <w:tblPr>
        <w:tblpPr w:leftFromText="141" w:rightFromText="141" w:vertAnchor="text" w:horzAnchor="page" w:tblpX="1821" w:tblpY="316"/>
        <w:tblW w:w="7623" w:type="dxa"/>
        <w:tblCellMar>
          <w:left w:w="70" w:type="dxa"/>
          <w:right w:w="70" w:type="dxa"/>
        </w:tblCellMar>
        <w:tblLook w:val="04A0" w:firstRow="1" w:lastRow="0" w:firstColumn="1" w:lastColumn="0" w:noHBand="0" w:noVBand="1"/>
      </w:tblPr>
      <w:tblGrid>
        <w:gridCol w:w="4465"/>
        <w:gridCol w:w="1031"/>
        <w:gridCol w:w="2127"/>
      </w:tblGrid>
      <w:tr w:rsidR="00A613BB" w:rsidRPr="006A116E" w:rsidTr="00317E39">
        <w:trPr>
          <w:trHeight w:val="300"/>
        </w:trPr>
        <w:tc>
          <w:tcPr>
            <w:tcW w:w="7623" w:type="dxa"/>
            <w:gridSpan w:val="3"/>
            <w:tcBorders>
              <w:top w:val="nil"/>
              <w:left w:val="nil"/>
              <w:bottom w:val="nil"/>
              <w:right w:val="nil"/>
            </w:tcBorders>
            <w:shd w:val="clear" w:color="000000" w:fill="FFFF99"/>
            <w:noWrap/>
            <w:vAlign w:val="center"/>
            <w:hideMark/>
          </w:tcPr>
          <w:p w:rsidR="00A613BB" w:rsidRPr="006A116E" w:rsidRDefault="00A613BB" w:rsidP="000C4B28">
            <w:pPr>
              <w:spacing w:after="0" w:line="240" w:lineRule="auto"/>
              <w:jc w:val="center"/>
              <w:rPr>
                <w:rFonts w:ascii="Calibri" w:eastAsia="Times New Roman" w:hAnsi="Calibri" w:cs="Times New Roman"/>
                <w:b/>
                <w:bCs/>
                <w:color w:val="000000"/>
                <w:lang w:eastAsia="it-IT"/>
              </w:rPr>
            </w:pPr>
            <w:r w:rsidRPr="006A116E">
              <w:rPr>
                <w:rFonts w:ascii="Calibri" w:eastAsia="Times New Roman" w:hAnsi="Calibri" w:cs="Tahoma"/>
                <w:b/>
                <w:bCs/>
                <w:color w:val="000000"/>
                <w:lang w:eastAsia="it-IT"/>
              </w:rPr>
              <w:t>FONDO RISORSE DECENTRATE ANNO 2012</w:t>
            </w: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b/>
                <w:color w:val="000000"/>
                <w:lang w:eastAsia="it-IT"/>
              </w:rPr>
            </w:pPr>
            <w:r w:rsidRPr="006A116E">
              <w:rPr>
                <w:rFonts w:ascii="Calibri" w:eastAsia="Times New Roman" w:hAnsi="Calibri" w:cs="Tahoma"/>
                <w:b/>
                <w:color w:val="000000"/>
                <w:lang w:eastAsia="it-IT"/>
              </w:rPr>
              <w:t>Fondo stabile:</w:t>
            </w: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cantSplit/>
          <w:trHeight w:val="405"/>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sz w:val="18"/>
                <w:szCs w:val="18"/>
                <w:lang w:eastAsia="it-IT"/>
              </w:rPr>
            </w:pPr>
            <w:r w:rsidRPr="006A116E">
              <w:rPr>
                <w:rFonts w:ascii="Calibri" w:eastAsia="Times New Roman" w:hAnsi="Calibri" w:cs="Tahoma"/>
                <w:color w:val="000000"/>
                <w:sz w:val="18"/>
                <w:szCs w:val="18"/>
                <w:lang w:eastAsia="it-IT"/>
              </w:rPr>
              <w:t>articolo 15, comma 1, lett.a)</w:t>
            </w:r>
            <w:r w:rsidR="00317E39">
              <w:rPr>
                <w:rFonts w:ascii="Calibri" w:eastAsia="Times New Roman" w:hAnsi="Calibri" w:cs="Tahoma"/>
                <w:color w:val="000000"/>
                <w:sz w:val="18"/>
                <w:szCs w:val="18"/>
                <w:lang w:eastAsia="it-IT"/>
              </w:rPr>
              <w:t xml:space="preserve"> e comma 5 </w:t>
            </w:r>
            <w:r w:rsidRPr="006A116E">
              <w:rPr>
                <w:rFonts w:ascii="Calibri" w:eastAsia="Times New Roman" w:hAnsi="Calibri" w:cs="Tahoma"/>
                <w:color w:val="000000"/>
                <w:sz w:val="18"/>
                <w:szCs w:val="18"/>
                <w:lang w:eastAsia="it-IT"/>
              </w:rPr>
              <w:t xml:space="preserve"> CCNL 01/04/1999</w:t>
            </w:r>
          </w:p>
        </w:tc>
        <w:tc>
          <w:tcPr>
            <w:tcW w:w="1031" w:type="dxa"/>
            <w:tcBorders>
              <w:top w:val="nil"/>
              <w:left w:val="nil"/>
              <w:bottom w:val="nil"/>
              <w:right w:val="nil"/>
            </w:tcBorders>
            <w:shd w:val="clear" w:color="auto" w:fill="auto"/>
            <w:noWrap/>
            <w:vAlign w:val="center"/>
            <w:hideMark/>
          </w:tcPr>
          <w:p w:rsidR="00A613BB" w:rsidRPr="006A116E" w:rsidRDefault="00317E39" w:rsidP="00317E39">
            <w:pPr>
              <w:spacing w:after="0" w:line="240" w:lineRule="auto"/>
              <w:jc w:val="right"/>
              <w:rPr>
                <w:rFonts w:ascii="Calibri" w:eastAsia="Times New Roman" w:hAnsi="Calibri" w:cs="Times New Roman"/>
                <w:color w:val="000000"/>
                <w:lang w:eastAsia="it-IT"/>
              </w:rPr>
            </w:pPr>
            <w:r>
              <w:rPr>
                <w:rFonts w:ascii="Calibri" w:eastAsia="Times New Roman" w:hAnsi="Calibri" w:cs="Tahoma"/>
                <w:color w:val="000000"/>
                <w:lang w:eastAsia="it-IT"/>
              </w:rPr>
              <w:t>51.323,72</w:t>
            </w: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trHeight w:val="405"/>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sz w:val="18"/>
                <w:szCs w:val="18"/>
                <w:lang w:eastAsia="it-IT"/>
              </w:rPr>
            </w:pPr>
            <w:r w:rsidRPr="006A116E">
              <w:rPr>
                <w:rFonts w:ascii="Calibri" w:eastAsia="Times New Roman" w:hAnsi="Calibri" w:cs="Tahoma"/>
                <w:color w:val="000000"/>
                <w:sz w:val="18"/>
                <w:szCs w:val="18"/>
                <w:lang w:eastAsia="it-IT"/>
              </w:rPr>
              <w:t xml:space="preserve">Retribuzione di posizione e risultato DCE n°54/2007   </w:t>
            </w:r>
          </w:p>
        </w:tc>
        <w:tc>
          <w:tcPr>
            <w:tcW w:w="1031" w:type="dxa"/>
            <w:tcBorders>
              <w:top w:val="nil"/>
              <w:left w:val="nil"/>
              <w:bottom w:val="single" w:sz="4" w:space="0" w:color="auto"/>
              <w:right w:val="nil"/>
            </w:tcBorders>
            <w:shd w:val="clear" w:color="auto" w:fill="auto"/>
            <w:noWrap/>
            <w:vAlign w:val="center"/>
            <w:hideMark/>
          </w:tcPr>
          <w:p w:rsidR="00A613BB" w:rsidRPr="006A116E" w:rsidRDefault="00A613BB" w:rsidP="000C4B28">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ahoma"/>
                <w:color w:val="000000"/>
                <w:lang w:eastAsia="it-IT"/>
              </w:rPr>
              <w:t>35.000,00</w:t>
            </w:r>
          </w:p>
        </w:tc>
        <w:tc>
          <w:tcPr>
            <w:tcW w:w="2127" w:type="dxa"/>
            <w:tcBorders>
              <w:top w:val="nil"/>
              <w:left w:val="nil"/>
              <w:bottom w:val="single" w:sz="4" w:space="0" w:color="auto"/>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imes New Roman"/>
                <w:color w:val="000000"/>
                <w:lang w:eastAsia="it-IT"/>
              </w:rPr>
              <w:t> </w:t>
            </w:r>
          </w:p>
        </w:tc>
      </w:tr>
      <w:tr w:rsidR="00A613BB" w:rsidRPr="006A116E" w:rsidTr="00317E39">
        <w:trPr>
          <w:trHeight w:val="405"/>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imes New Roman"/>
                <w:color w:val="000000"/>
                <w:lang w:eastAsia="it-IT"/>
              </w:rPr>
              <w:t>totale</w:t>
            </w: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imes New Roman"/>
                <w:color w:val="000000"/>
                <w:lang w:eastAsia="it-IT"/>
              </w:rPr>
              <w:t xml:space="preserve">86.323,72 </w:t>
            </w: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ahoma"/>
                <w:color w:val="000000"/>
                <w:lang w:eastAsia="it-IT"/>
              </w:rPr>
              <w:t>Economie</w:t>
            </w: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ahoma"/>
                <w:color w:val="000000"/>
                <w:lang w:eastAsia="it-IT"/>
              </w:rPr>
              <w:t xml:space="preserve">0,00 </w:t>
            </w:r>
          </w:p>
        </w:tc>
      </w:tr>
      <w:tr w:rsidR="00A613BB" w:rsidRPr="006A116E" w:rsidTr="00317E39">
        <w:trPr>
          <w:cantSplit/>
          <w:trHeight w:val="300"/>
        </w:trPr>
        <w:tc>
          <w:tcPr>
            <w:tcW w:w="4465" w:type="dxa"/>
            <w:tcBorders>
              <w:top w:val="nil"/>
              <w:left w:val="nil"/>
              <w:bottom w:val="nil"/>
              <w:right w:val="nil"/>
            </w:tcBorders>
            <w:shd w:val="clear" w:color="auto" w:fill="FFFF00"/>
            <w:noWrap/>
            <w:vAlign w:val="center"/>
            <w:hideMark/>
          </w:tcPr>
          <w:p w:rsidR="00A613BB" w:rsidRPr="006A116E" w:rsidRDefault="00A613BB" w:rsidP="000C4B28">
            <w:pPr>
              <w:spacing w:after="0" w:line="240" w:lineRule="auto"/>
              <w:rPr>
                <w:rFonts w:ascii="Calibri" w:eastAsia="Times New Roman" w:hAnsi="Calibri" w:cs="Times New Roman"/>
                <w:b/>
                <w:color w:val="000000"/>
                <w:lang w:eastAsia="it-IT"/>
              </w:rPr>
            </w:pPr>
            <w:r w:rsidRPr="006A116E">
              <w:rPr>
                <w:rFonts w:ascii="Calibri" w:eastAsia="Times New Roman" w:hAnsi="Calibri" w:cs="Tahoma"/>
                <w:b/>
                <w:color w:val="000000"/>
                <w:lang w:eastAsia="it-IT"/>
              </w:rPr>
              <w:t xml:space="preserve">Totale Fondo </w:t>
            </w:r>
          </w:p>
        </w:tc>
        <w:tc>
          <w:tcPr>
            <w:tcW w:w="1031" w:type="dxa"/>
            <w:tcBorders>
              <w:top w:val="nil"/>
              <w:left w:val="nil"/>
              <w:bottom w:val="nil"/>
              <w:right w:val="nil"/>
            </w:tcBorders>
            <w:shd w:val="clear" w:color="auto" w:fill="FFFF00"/>
            <w:noWrap/>
            <w:vAlign w:val="center"/>
            <w:hideMark/>
          </w:tcPr>
          <w:p w:rsidR="00A613BB" w:rsidRPr="006A116E" w:rsidRDefault="00A613BB" w:rsidP="000C4B28">
            <w:pPr>
              <w:spacing w:after="0" w:line="240" w:lineRule="auto"/>
              <w:rPr>
                <w:rFonts w:ascii="Calibri" w:eastAsia="Times New Roman" w:hAnsi="Calibri" w:cs="Times New Roman"/>
                <w:b/>
                <w:color w:val="000000"/>
                <w:lang w:eastAsia="it-IT"/>
              </w:rPr>
            </w:pPr>
          </w:p>
        </w:tc>
        <w:tc>
          <w:tcPr>
            <w:tcW w:w="2127" w:type="dxa"/>
            <w:tcBorders>
              <w:top w:val="nil"/>
              <w:left w:val="nil"/>
              <w:bottom w:val="nil"/>
              <w:right w:val="nil"/>
            </w:tcBorders>
            <w:shd w:val="clear" w:color="auto" w:fill="FFFF00"/>
            <w:noWrap/>
            <w:vAlign w:val="center"/>
            <w:hideMark/>
          </w:tcPr>
          <w:p w:rsidR="00A613BB" w:rsidRPr="006A116E" w:rsidRDefault="00A613BB" w:rsidP="000C4B28">
            <w:pPr>
              <w:spacing w:after="0" w:line="240" w:lineRule="auto"/>
              <w:jc w:val="right"/>
              <w:rPr>
                <w:rFonts w:ascii="Calibri" w:eastAsia="Times New Roman" w:hAnsi="Calibri" w:cs="Times New Roman"/>
                <w:b/>
                <w:color w:val="000000"/>
                <w:lang w:eastAsia="it-IT"/>
              </w:rPr>
            </w:pPr>
            <w:r w:rsidRPr="006A116E">
              <w:rPr>
                <w:rFonts w:ascii="Calibri" w:eastAsia="Times New Roman" w:hAnsi="Calibri" w:cs="Tahoma"/>
                <w:b/>
                <w:color w:val="000000"/>
                <w:lang w:eastAsia="it-IT"/>
              </w:rPr>
              <w:t xml:space="preserve">86.323,72 </w:t>
            </w:r>
          </w:p>
        </w:tc>
      </w:tr>
      <w:tr w:rsidR="00A613BB" w:rsidRPr="006A116E" w:rsidTr="00317E39">
        <w:trPr>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b/>
                <w:color w:val="000000"/>
                <w:lang w:eastAsia="it-IT"/>
              </w:rPr>
            </w:pPr>
            <w:r w:rsidRPr="006A116E">
              <w:rPr>
                <w:rFonts w:ascii="Calibri" w:eastAsia="Times New Roman" w:hAnsi="Calibri" w:cs="Tahoma"/>
                <w:color w:val="000000"/>
                <w:lang w:eastAsia="it-IT"/>
              </w:rPr>
              <w:t xml:space="preserve"> </w:t>
            </w:r>
            <w:r w:rsidRPr="006A116E">
              <w:rPr>
                <w:rFonts w:ascii="Calibri" w:eastAsia="Times New Roman" w:hAnsi="Calibri" w:cs="Tahoma"/>
                <w:b/>
                <w:color w:val="000000"/>
                <w:lang w:eastAsia="it-IT"/>
              </w:rPr>
              <w:t>Previsione utilizzo fondo:</w:t>
            </w: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cantSplit/>
          <w:trHeight w:val="532"/>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sz w:val="18"/>
                <w:szCs w:val="18"/>
                <w:lang w:eastAsia="it-IT"/>
              </w:rPr>
            </w:pPr>
            <w:r w:rsidRPr="006A116E">
              <w:rPr>
                <w:rFonts w:ascii="Calibri" w:eastAsia="Times New Roman" w:hAnsi="Calibri" w:cs="Tahoma"/>
                <w:color w:val="000000"/>
                <w:sz w:val="18"/>
                <w:szCs w:val="18"/>
                <w:lang w:eastAsia="it-IT"/>
              </w:rPr>
              <w:t>Comparto</w:t>
            </w: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ahoma"/>
                <w:color w:val="000000"/>
                <w:lang w:eastAsia="it-IT"/>
              </w:rPr>
              <w:t xml:space="preserve">5.661,00 </w:t>
            </w: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sz w:val="18"/>
                <w:szCs w:val="18"/>
                <w:lang w:eastAsia="it-IT"/>
              </w:rPr>
            </w:pPr>
            <w:r w:rsidRPr="006A116E">
              <w:rPr>
                <w:rFonts w:ascii="Calibri" w:eastAsia="Times New Roman" w:hAnsi="Calibri" w:cs="Tahoma"/>
                <w:color w:val="000000"/>
                <w:sz w:val="18"/>
                <w:szCs w:val="18"/>
                <w:lang w:eastAsia="it-IT"/>
              </w:rPr>
              <w:t>PEO</w:t>
            </w: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ahoma"/>
                <w:color w:val="000000"/>
                <w:lang w:eastAsia="it-IT"/>
              </w:rPr>
              <w:t xml:space="preserve">6.347,77 </w:t>
            </w: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sz w:val="18"/>
                <w:szCs w:val="18"/>
                <w:lang w:eastAsia="it-IT"/>
              </w:rPr>
            </w:pPr>
            <w:r w:rsidRPr="006A116E">
              <w:rPr>
                <w:rFonts w:ascii="Calibri" w:eastAsia="Times New Roman" w:hAnsi="Calibri" w:cs="Tahoma"/>
                <w:color w:val="000000"/>
                <w:sz w:val="18"/>
                <w:szCs w:val="18"/>
                <w:lang w:eastAsia="it-IT"/>
              </w:rPr>
              <w:t xml:space="preserve">Retribuzione di posizione e risultato DCE n°54/2007   </w:t>
            </w:r>
          </w:p>
        </w:tc>
        <w:tc>
          <w:tcPr>
            <w:tcW w:w="1031" w:type="dxa"/>
            <w:tcBorders>
              <w:top w:val="nil"/>
              <w:left w:val="nil"/>
              <w:bottom w:val="single" w:sz="4" w:space="0" w:color="auto"/>
              <w:right w:val="nil"/>
            </w:tcBorders>
            <w:shd w:val="clear" w:color="auto" w:fill="auto"/>
            <w:noWrap/>
            <w:vAlign w:val="center"/>
            <w:hideMark/>
          </w:tcPr>
          <w:p w:rsidR="00A613BB" w:rsidRPr="006A116E" w:rsidRDefault="00A613BB" w:rsidP="000C4B28">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imes New Roman"/>
                <w:color w:val="000000"/>
                <w:lang w:eastAsia="it-IT"/>
              </w:rPr>
              <w:t xml:space="preserve">35.000,00 </w:t>
            </w:r>
          </w:p>
        </w:tc>
        <w:tc>
          <w:tcPr>
            <w:tcW w:w="2127" w:type="dxa"/>
            <w:tcBorders>
              <w:top w:val="nil"/>
              <w:left w:val="nil"/>
              <w:bottom w:val="single" w:sz="4" w:space="0" w:color="auto"/>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imes New Roman"/>
                <w:color w:val="000000"/>
                <w:lang w:eastAsia="it-IT"/>
              </w:rPr>
              <w:t> </w:t>
            </w: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ahoma"/>
                <w:color w:val="000000"/>
                <w:lang w:eastAsia="it-IT"/>
              </w:rPr>
              <w:t xml:space="preserve">47.008,77 </w:t>
            </w: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ahoma"/>
                <w:color w:val="000000"/>
                <w:lang w:eastAsia="it-IT"/>
              </w:rPr>
              <w:t>Responsabilità</w:t>
            </w:r>
          </w:p>
        </w:tc>
        <w:tc>
          <w:tcPr>
            <w:tcW w:w="1031" w:type="dxa"/>
            <w:tcBorders>
              <w:top w:val="nil"/>
              <w:left w:val="nil"/>
              <w:bottom w:val="nil"/>
              <w:right w:val="nil"/>
            </w:tcBorders>
            <w:shd w:val="clear" w:color="auto" w:fill="auto"/>
            <w:noWrap/>
            <w:vAlign w:val="center"/>
            <w:hideMark/>
          </w:tcPr>
          <w:p w:rsidR="00A613BB" w:rsidRPr="006A116E" w:rsidRDefault="00A613BB" w:rsidP="00317E39">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ahoma"/>
                <w:color w:val="000000"/>
                <w:lang w:eastAsia="it-IT"/>
              </w:rPr>
              <w:t>1</w:t>
            </w:r>
            <w:r w:rsidR="00317E39">
              <w:rPr>
                <w:rFonts w:ascii="Calibri" w:eastAsia="Times New Roman" w:hAnsi="Calibri" w:cs="Tahoma"/>
                <w:color w:val="000000"/>
                <w:lang w:eastAsia="it-IT"/>
              </w:rPr>
              <w:t>8.625,00</w:t>
            </w:r>
            <w:r w:rsidRPr="006A116E">
              <w:rPr>
                <w:rFonts w:ascii="Calibri" w:eastAsia="Times New Roman" w:hAnsi="Calibri" w:cs="Tahoma"/>
                <w:color w:val="000000"/>
                <w:lang w:eastAsia="it-IT"/>
              </w:rPr>
              <w:t xml:space="preserve"> </w:t>
            </w: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cantSplit/>
          <w:trHeight w:val="8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ahoma"/>
                <w:color w:val="000000"/>
                <w:lang w:eastAsia="it-IT"/>
              </w:rPr>
              <w:t>Maneggio valori</w:t>
            </w: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jc w:val="right"/>
              <w:rPr>
                <w:rFonts w:ascii="Calibri" w:eastAsia="Times New Roman" w:hAnsi="Calibri" w:cs="Times New Roman"/>
                <w:color w:val="000000"/>
                <w:lang w:eastAsia="it-IT"/>
              </w:rPr>
            </w:pPr>
            <w:r w:rsidRPr="006A116E">
              <w:rPr>
                <w:rFonts w:ascii="Calibri" w:eastAsia="Times New Roman" w:hAnsi="Calibri" w:cs="Tahoma"/>
                <w:color w:val="000000"/>
                <w:lang w:eastAsia="it-IT"/>
              </w:rPr>
              <w:t>329,56</w:t>
            </w: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ahoma"/>
                <w:color w:val="000000"/>
                <w:lang w:eastAsia="it-IT"/>
              </w:rPr>
              <w:t>Produttività</w:t>
            </w:r>
          </w:p>
        </w:tc>
        <w:tc>
          <w:tcPr>
            <w:tcW w:w="1031" w:type="dxa"/>
            <w:tcBorders>
              <w:top w:val="nil"/>
              <w:left w:val="nil"/>
              <w:bottom w:val="nil"/>
              <w:right w:val="nil"/>
            </w:tcBorders>
            <w:shd w:val="clear" w:color="auto" w:fill="auto"/>
            <w:noWrap/>
            <w:vAlign w:val="center"/>
            <w:hideMark/>
          </w:tcPr>
          <w:p w:rsidR="00A613BB" w:rsidRPr="006A116E" w:rsidRDefault="00317E39" w:rsidP="000C4B28">
            <w:pPr>
              <w:spacing w:after="0" w:line="240" w:lineRule="auto"/>
              <w:jc w:val="right"/>
              <w:rPr>
                <w:rFonts w:ascii="Calibri" w:eastAsia="Times New Roman" w:hAnsi="Calibri" w:cs="Times New Roman"/>
                <w:color w:val="000000"/>
                <w:lang w:eastAsia="it-IT"/>
              </w:rPr>
            </w:pPr>
            <w:r>
              <w:rPr>
                <w:rFonts w:ascii="Calibri" w:eastAsia="Times New Roman" w:hAnsi="Calibri" w:cs="Tahoma"/>
                <w:color w:val="000000"/>
                <w:lang w:eastAsia="it-IT"/>
              </w:rPr>
              <w:t>9.960,00</w:t>
            </w:r>
            <w:r w:rsidR="00A613BB">
              <w:rPr>
                <w:rFonts w:ascii="Calibri" w:eastAsia="Times New Roman" w:hAnsi="Calibri" w:cs="Tahoma"/>
                <w:color w:val="000000"/>
                <w:lang w:eastAsia="it-IT"/>
              </w:rPr>
              <w:t xml:space="preserve"> </w:t>
            </w:r>
          </w:p>
        </w:tc>
        <w:tc>
          <w:tcPr>
            <w:tcW w:w="2127"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ahoma"/>
                <w:color w:val="000000"/>
                <w:lang w:eastAsia="it-IT"/>
              </w:rPr>
              <w:t>Articolo15, comma 5</w:t>
            </w:r>
          </w:p>
        </w:tc>
        <w:tc>
          <w:tcPr>
            <w:tcW w:w="1031" w:type="dxa"/>
            <w:tcBorders>
              <w:top w:val="nil"/>
              <w:left w:val="nil"/>
              <w:bottom w:val="single" w:sz="4" w:space="0" w:color="auto"/>
              <w:right w:val="nil"/>
            </w:tcBorders>
            <w:shd w:val="clear" w:color="auto" w:fill="auto"/>
            <w:noWrap/>
            <w:vAlign w:val="center"/>
            <w:hideMark/>
          </w:tcPr>
          <w:p w:rsidR="00A613BB" w:rsidRPr="006A116E" w:rsidRDefault="00317E39" w:rsidP="000C4B28">
            <w:pPr>
              <w:spacing w:after="0" w:line="240" w:lineRule="auto"/>
              <w:jc w:val="right"/>
              <w:rPr>
                <w:rFonts w:ascii="Calibri" w:eastAsia="Times New Roman" w:hAnsi="Calibri" w:cs="Times New Roman"/>
                <w:color w:val="000000"/>
                <w:lang w:eastAsia="it-IT"/>
              </w:rPr>
            </w:pPr>
            <w:r>
              <w:rPr>
                <w:rFonts w:ascii="Calibri" w:eastAsia="Times New Roman" w:hAnsi="Calibri" w:cs="Tahoma"/>
                <w:color w:val="000000"/>
                <w:lang w:eastAsia="it-IT"/>
              </w:rPr>
              <w:t>10.400,00</w:t>
            </w:r>
            <w:r w:rsidR="00A613BB">
              <w:rPr>
                <w:rFonts w:ascii="Calibri" w:eastAsia="Times New Roman" w:hAnsi="Calibri" w:cs="Tahoma"/>
                <w:color w:val="000000"/>
                <w:lang w:eastAsia="it-IT"/>
              </w:rPr>
              <w:t xml:space="preserve"> </w:t>
            </w:r>
          </w:p>
        </w:tc>
        <w:tc>
          <w:tcPr>
            <w:tcW w:w="2127" w:type="dxa"/>
            <w:tcBorders>
              <w:top w:val="nil"/>
              <w:left w:val="nil"/>
              <w:bottom w:val="single" w:sz="4" w:space="0" w:color="auto"/>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ahoma"/>
                <w:color w:val="000000"/>
                <w:lang w:eastAsia="it-IT"/>
              </w:rPr>
              <w:t> </w:t>
            </w: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2127" w:type="dxa"/>
            <w:tcBorders>
              <w:top w:val="nil"/>
              <w:left w:val="nil"/>
              <w:bottom w:val="nil"/>
              <w:right w:val="nil"/>
            </w:tcBorders>
            <w:shd w:val="clear" w:color="auto" w:fill="auto"/>
            <w:noWrap/>
            <w:vAlign w:val="center"/>
            <w:hideMark/>
          </w:tcPr>
          <w:p w:rsidR="00A613BB" w:rsidRPr="006A116E" w:rsidRDefault="00A613BB" w:rsidP="00317E39">
            <w:pPr>
              <w:spacing w:after="0" w:line="240" w:lineRule="auto"/>
              <w:jc w:val="right"/>
              <w:rPr>
                <w:rFonts w:ascii="Calibri" w:eastAsia="Times New Roman" w:hAnsi="Calibri" w:cs="Times New Roman"/>
                <w:color w:val="000000"/>
                <w:lang w:eastAsia="it-IT"/>
              </w:rPr>
            </w:pPr>
            <w:r>
              <w:rPr>
                <w:rFonts w:ascii="Calibri" w:eastAsia="Times New Roman" w:hAnsi="Calibri" w:cs="Tahoma"/>
                <w:color w:val="000000"/>
                <w:lang w:eastAsia="it-IT"/>
              </w:rPr>
              <w:t>39.314,</w:t>
            </w:r>
            <w:r w:rsidR="00317E39">
              <w:rPr>
                <w:rFonts w:ascii="Calibri" w:eastAsia="Times New Roman" w:hAnsi="Calibri" w:cs="Tahoma"/>
                <w:color w:val="000000"/>
                <w:lang w:eastAsia="it-IT"/>
              </w:rPr>
              <w:t>56</w:t>
            </w:r>
            <w:r>
              <w:rPr>
                <w:rFonts w:ascii="Calibri" w:eastAsia="Times New Roman" w:hAnsi="Calibri" w:cs="Tahoma"/>
                <w:color w:val="000000"/>
                <w:lang w:eastAsia="it-IT"/>
              </w:rPr>
              <w:t xml:space="preserve"> </w:t>
            </w:r>
          </w:p>
        </w:tc>
      </w:tr>
      <w:tr w:rsidR="00A613BB" w:rsidRPr="006A116E" w:rsidTr="00317E39">
        <w:trPr>
          <w:cantSplit/>
          <w:trHeight w:val="300"/>
        </w:trPr>
        <w:tc>
          <w:tcPr>
            <w:tcW w:w="4465" w:type="dxa"/>
            <w:tcBorders>
              <w:top w:val="nil"/>
              <w:left w:val="nil"/>
              <w:bottom w:val="nil"/>
              <w:right w:val="nil"/>
            </w:tcBorders>
            <w:shd w:val="clear" w:color="auto" w:fill="FFFF00"/>
            <w:noWrap/>
            <w:vAlign w:val="center"/>
            <w:hideMark/>
          </w:tcPr>
          <w:p w:rsidR="00A613BB" w:rsidRPr="006A116E" w:rsidRDefault="00A613BB" w:rsidP="000C4B28">
            <w:pPr>
              <w:spacing w:after="0" w:line="240" w:lineRule="auto"/>
              <w:rPr>
                <w:rFonts w:ascii="Calibri" w:eastAsia="Times New Roman" w:hAnsi="Calibri" w:cs="Times New Roman"/>
                <w:b/>
                <w:color w:val="000000"/>
                <w:lang w:eastAsia="it-IT"/>
              </w:rPr>
            </w:pPr>
            <w:r w:rsidRPr="006A116E">
              <w:rPr>
                <w:rFonts w:ascii="Calibri" w:eastAsia="Times New Roman" w:hAnsi="Calibri" w:cs="Tahoma"/>
                <w:b/>
                <w:color w:val="000000"/>
                <w:lang w:eastAsia="it-IT"/>
              </w:rPr>
              <w:t>Totale spesa prevista</w:t>
            </w:r>
          </w:p>
        </w:tc>
        <w:tc>
          <w:tcPr>
            <w:tcW w:w="1031" w:type="dxa"/>
            <w:tcBorders>
              <w:top w:val="nil"/>
              <w:left w:val="nil"/>
              <w:bottom w:val="nil"/>
              <w:right w:val="nil"/>
            </w:tcBorders>
            <w:shd w:val="clear" w:color="auto" w:fill="FFFF00"/>
            <w:noWrap/>
            <w:vAlign w:val="center"/>
            <w:hideMark/>
          </w:tcPr>
          <w:p w:rsidR="00A613BB" w:rsidRPr="006A116E" w:rsidRDefault="00A613BB" w:rsidP="000C4B28">
            <w:pPr>
              <w:spacing w:after="0" w:line="240" w:lineRule="auto"/>
              <w:rPr>
                <w:rFonts w:ascii="Calibri" w:eastAsia="Times New Roman" w:hAnsi="Calibri" w:cs="Times New Roman"/>
                <w:b/>
                <w:color w:val="000000"/>
                <w:lang w:eastAsia="it-IT"/>
              </w:rPr>
            </w:pPr>
          </w:p>
        </w:tc>
        <w:tc>
          <w:tcPr>
            <w:tcW w:w="2127" w:type="dxa"/>
            <w:tcBorders>
              <w:top w:val="nil"/>
              <w:left w:val="nil"/>
              <w:bottom w:val="nil"/>
              <w:right w:val="nil"/>
            </w:tcBorders>
            <w:shd w:val="clear" w:color="auto" w:fill="FFFF00"/>
            <w:noWrap/>
            <w:vAlign w:val="center"/>
            <w:hideMark/>
          </w:tcPr>
          <w:p w:rsidR="00A613BB" w:rsidRPr="006A116E" w:rsidRDefault="00A613BB" w:rsidP="00317E39">
            <w:pPr>
              <w:spacing w:after="0" w:line="240" w:lineRule="auto"/>
              <w:jc w:val="right"/>
              <w:rPr>
                <w:rFonts w:ascii="Calibri" w:eastAsia="Times New Roman" w:hAnsi="Calibri" w:cs="Times New Roman"/>
                <w:b/>
                <w:color w:val="000000"/>
                <w:lang w:eastAsia="it-IT"/>
              </w:rPr>
            </w:pPr>
            <w:r>
              <w:rPr>
                <w:rFonts w:ascii="Calibri" w:eastAsia="Times New Roman" w:hAnsi="Calibri" w:cs="Tahoma"/>
                <w:b/>
                <w:color w:val="000000"/>
                <w:lang w:eastAsia="it-IT"/>
              </w:rPr>
              <w:t>86.323,</w:t>
            </w:r>
            <w:r w:rsidR="00317E39">
              <w:rPr>
                <w:rFonts w:ascii="Calibri" w:eastAsia="Times New Roman" w:hAnsi="Calibri" w:cs="Tahoma"/>
                <w:b/>
                <w:color w:val="000000"/>
                <w:lang w:eastAsia="it-IT"/>
              </w:rPr>
              <w:t>33</w:t>
            </w:r>
            <w:r>
              <w:rPr>
                <w:rFonts w:ascii="Calibri" w:eastAsia="Times New Roman" w:hAnsi="Calibri" w:cs="Tahoma"/>
                <w:b/>
                <w:color w:val="000000"/>
                <w:lang w:eastAsia="it-IT"/>
              </w:rPr>
              <w:t xml:space="preserve"> </w:t>
            </w:r>
          </w:p>
        </w:tc>
      </w:tr>
      <w:tr w:rsidR="00A613BB" w:rsidRPr="006A116E" w:rsidTr="00317E39">
        <w:trPr>
          <w:cantSplit/>
          <w:trHeight w:val="300"/>
        </w:trPr>
        <w:tc>
          <w:tcPr>
            <w:tcW w:w="4465"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r w:rsidRPr="006A116E">
              <w:rPr>
                <w:rFonts w:ascii="Calibri" w:eastAsia="Times New Roman" w:hAnsi="Calibri" w:cs="Tahoma"/>
                <w:color w:val="000000"/>
                <w:lang w:eastAsia="it-IT"/>
              </w:rPr>
              <w:t>Disponibilità Residua</w:t>
            </w:r>
          </w:p>
        </w:tc>
        <w:tc>
          <w:tcPr>
            <w:tcW w:w="1031" w:type="dxa"/>
            <w:tcBorders>
              <w:top w:val="nil"/>
              <w:left w:val="nil"/>
              <w:bottom w:val="nil"/>
              <w:right w:val="nil"/>
            </w:tcBorders>
            <w:shd w:val="clear" w:color="auto" w:fill="auto"/>
            <w:noWrap/>
            <w:vAlign w:val="center"/>
            <w:hideMark/>
          </w:tcPr>
          <w:p w:rsidR="00A613BB" w:rsidRPr="006A116E" w:rsidRDefault="00A613BB" w:rsidP="000C4B28">
            <w:pPr>
              <w:spacing w:after="0" w:line="240" w:lineRule="auto"/>
              <w:rPr>
                <w:rFonts w:ascii="Calibri" w:eastAsia="Times New Roman" w:hAnsi="Calibri" w:cs="Times New Roman"/>
                <w:color w:val="000000"/>
                <w:lang w:eastAsia="it-IT"/>
              </w:rPr>
            </w:pPr>
          </w:p>
        </w:tc>
        <w:tc>
          <w:tcPr>
            <w:tcW w:w="2127" w:type="dxa"/>
            <w:tcBorders>
              <w:top w:val="nil"/>
              <w:left w:val="nil"/>
              <w:bottom w:val="nil"/>
              <w:right w:val="nil"/>
            </w:tcBorders>
            <w:shd w:val="clear" w:color="auto" w:fill="auto"/>
            <w:noWrap/>
            <w:vAlign w:val="center"/>
            <w:hideMark/>
          </w:tcPr>
          <w:p w:rsidR="00A613BB" w:rsidRPr="006A116E" w:rsidRDefault="00A613BB" w:rsidP="00317E39">
            <w:pPr>
              <w:spacing w:after="0" w:line="240" w:lineRule="auto"/>
              <w:jc w:val="right"/>
              <w:rPr>
                <w:rFonts w:ascii="Calibri" w:eastAsia="Times New Roman" w:hAnsi="Calibri" w:cs="Times New Roman"/>
                <w:color w:val="000000"/>
                <w:lang w:eastAsia="it-IT"/>
              </w:rPr>
            </w:pPr>
            <w:r>
              <w:rPr>
                <w:rFonts w:ascii="Calibri" w:eastAsia="Times New Roman" w:hAnsi="Calibri" w:cs="Tahoma"/>
                <w:color w:val="000000"/>
                <w:lang w:eastAsia="it-IT"/>
              </w:rPr>
              <w:t>0,</w:t>
            </w:r>
            <w:r w:rsidR="00317E39">
              <w:rPr>
                <w:rFonts w:ascii="Calibri" w:eastAsia="Times New Roman" w:hAnsi="Calibri" w:cs="Tahoma"/>
                <w:color w:val="000000"/>
                <w:lang w:eastAsia="it-IT"/>
              </w:rPr>
              <w:t>39</w:t>
            </w:r>
            <w:r>
              <w:rPr>
                <w:rFonts w:ascii="Calibri" w:eastAsia="Times New Roman" w:hAnsi="Calibri" w:cs="Tahoma"/>
                <w:color w:val="000000"/>
                <w:lang w:eastAsia="it-IT"/>
              </w:rPr>
              <w:t xml:space="preserve"> </w:t>
            </w:r>
          </w:p>
        </w:tc>
      </w:tr>
    </w:tbl>
    <w:p w:rsidR="00A613BB" w:rsidRPr="00E56CDA" w:rsidRDefault="00A613BB" w:rsidP="00A613BB">
      <w:pPr>
        <w:autoSpaceDE w:val="0"/>
        <w:autoSpaceDN w:val="0"/>
        <w:adjustRightInd w:val="0"/>
        <w:spacing w:after="0" w:line="240" w:lineRule="auto"/>
        <w:rPr>
          <w:rFonts w:ascii="Bradley Hand ITC" w:hAnsi="Bradley Hand ITC" w:cs="Calibri"/>
          <w:color w:val="000000"/>
          <w:highlight w:val="yellow"/>
        </w:rPr>
      </w:pPr>
    </w:p>
    <w:p w:rsidR="00A613BB" w:rsidRDefault="00A613BB" w:rsidP="00A613BB">
      <w:pPr>
        <w:autoSpaceDE w:val="0"/>
        <w:autoSpaceDN w:val="0"/>
        <w:adjustRightInd w:val="0"/>
        <w:spacing w:after="0" w:line="240" w:lineRule="auto"/>
        <w:rPr>
          <w:rFonts w:ascii="Calibri" w:hAnsi="Calibri" w:cs="Calibri"/>
          <w:color w:val="000000"/>
          <w:highlight w:val="green"/>
        </w:rPr>
      </w:pPr>
    </w:p>
    <w:p w:rsidR="00A613BB" w:rsidRDefault="00A613BB" w:rsidP="00A613BB">
      <w:pPr>
        <w:autoSpaceDE w:val="0"/>
        <w:autoSpaceDN w:val="0"/>
        <w:adjustRightInd w:val="0"/>
        <w:spacing w:after="0" w:line="240" w:lineRule="auto"/>
        <w:rPr>
          <w:rFonts w:ascii="Calibri" w:hAnsi="Calibri" w:cs="Calibri"/>
          <w:color w:val="000000"/>
          <w:highlight w:val="green"/>
        </w:rPr>
      </w:pPr>
    </w:p>
    <w:p w:rsidR="00A613BB" w:rsidRDefault="00A613BB" w:rsidP="00A613BB">
      <w:pPr>
        <w:autoSpaceDE w:val="0"/>
        <w:autoSpaceDN w:val="0"/>
        <w:adjustRightInd w:val="0"/>
        <w:spacing w:after="0" w:line="240" w:lineRule="auto"/>
        <w:rPr>
          <w:rFonts w:ascii="Calibri" w:hAnsi="Calibri" w:cs="Calibri"/>
          <w:color w:val="000000"/>
          <w:highlight w:val="green"/>
        </w:rPr>
      </w:pPr>
    </w:p>
    <w:p w:rsidR="00A613BB" w:rsidRDefault="00A613BB" w:rsidP="00A613BB">
      <w:pPr>
        <w:autoSpaceDE w:val="0"/>
        <w:autoSpaceDN w:val="0"/>
        <w:adjustRightInd w:val="0"/>
        <w:spacing w:after="0" w:line="240" w:lineRule="auto"/>
        <w:rPr>
          <w:rFonts w:ascii="Calibri" w:hAnsi="Calibri" w:cs="Calibri"/>
          <w:color w:val="000000"/>
          <w:highlight w:val="green"/>
        </w:rPr>
      </w:pPr>
    </w:p>
    <w:p w:rsidR="00A613BB" w:rsidRDefault="00A613BB" w:rsidP="00A613BB">
      <w:pPr>
        <w:autoSpaceDE w:val="0"/>
        <w:autoSpaceDN w:val="0"/>
        <w:adjustRightInd w:val="0"/>
        <w:spacing w:after="0" w:line="240" w:lineRule="auto"/>
        <w:rPr>
          <w:rFonts w:ascii="Calibri" w:hAnsi="Calibri" w:cs="Calibri"/>
          <w:color w:val="000000"/>
          <w:highlight w:val="green"/>
        </w:rPr>
      </w:pPr>
    </w:p>
    <w:p w:rsidR="00A613BB" w:rsidRDefault="00A613BB" w:rsidP="00A613BB">
      <w:pPr>
        <w:autoSpaceDE w:val="0"/>
        <w:autoSpaceDN w:val="0"/>
        <w:adjustRightInd w:val="0"/>
        <w:spacing w:after="0" w:line="240" w:lineRule="auto"/>
        <w:rPr>
          <w:rFonts w:ascii="Calibri" w:hAnsi="Calibri" w:cs="Calibri"/>
          <w:color w:val="000000"/>
          <w:highlight w:val="green"/>
        </w:rPr>
      </w:pPr>
    </w:p>
    <w:p w:rsidR="00A613BB" w:rsidRDefault="00A613BB" w:rsidP="00A613BB">
      <w:pPr>
        <w:autoSpaceDE w:val="0"/>
        <w:autoSpaceDN w:val="0"/>
        <w:adjustRightInd w:val="0"/>
        <w:spacing w:after="0" w:line="240" w:lineRule="auto"/>
        <w:rPr>
          <w:rFonts w:ascii="Calibri" w:hAnsi="Calibri" w:cs="Calibri"/>
          <w:color w:val="000000"/>
          <w:highlight w:val="green"/>
        </w:rPr>
      </w:pPr>
    </w:p>
    <w:p w:rsidR="00A613BB" w:rsidRDefault="00A613BB" w:rsidP="00A613BB">
      <w:pPr>
        <w:autoSpaceDE w:val="0"/>
        <w:autoSpaceDN w:val="0"/>
        <w:adjustRightInd w:val="0"/>
        <w:spacing w:after="0" w:line="240" w:lineRule="auto"/>
        <w:rPr>
          <w:rFonts w:ascii="Calibri" w:hAnsi="Calibri" w:cs="Calibri"/>
          <w:color w:val="000000"/>
          <w:highlight w:val="green"/>
        </w:rPr>
      </w:pPr>
    </w:p>
    <w:p w:rsidR="00A613BB" w:rsidRPr="001452FC" w:rsidRDefault="00A613BB" w:rsidP="00A613BB">
      <w:pPr>
        <w:autoSpaceDE w:val="0"/>
        <w:autoSpaceDN w:val="0"/>
        <w:adjustRightInd w:val="0"/>
        <w:spacing w:after="0" w:line="240" w:lineRule="auto"/>
        <w:ind w:left="142" w:hanging="142"/>
        <w:rPr>
          <w:rFonts w:ascii="Tempus Sans ITC" w:hAnsi="Tempus Sans ITC" w:cs="Calibri"/>
          <w:color w:val="000000"/>
        </w:rPr>
      </w:pPr>
      <w:r w:rsidRPr="001452FC">
        <w:rPr>
          <w:rFonts w:ascii="Tempus Sans ITC" w:hAnsi="Tempus Sans ITC" w:cs="Calibri"/>
          <w:color w:val="000000"/>
        </w:rPr>
        <w:t xml:space="preserve">c)gli </w:t>
      </w:r>
      <w:r w:rsidRPr="001452FC">
        <w:rPr>
          <w:rFonts w:ascii="Tempus Sans ITC" w:hAnsi="Tempus Sans ITC" w:cs="Calibri-Italic"/>
          <w:i/>
          <w:iCs/>
          <w:color w:val="000000"/>
        </w:rPr>
        <w:t>effetti abrogativi impliciti</w:t>
      </w:r>
      <w:r w:rsidRPr="001452FC">
        <w:rPr>
          <w:rFonts w:ascii="Tempus Sans ITC" w:hAnsi="Tempus Sans ITC" w:cs="Calibri"/>
          <w:color w:val="000000"/>
        </w:rPr>
        <w:t>, in modo da rendere chiara la successione temporale dei contratti integrativi e la disciplina vigente delle materie demandate alla contrattazione integrativa;</w:t>
      </w:r>
    </w:p>
    <w:p w:rsidR="00A613BB" w:rsidRPr="001452FC" w:rsidRDefault="00A613BB" w:rsidP="00A613BB">
      <w:pPr>
        <w:autoSpaceDE w:val="0"/>
        <w:autoSpaceDN w:val="0"/>
        <w:adjustRightInd w:val="0"/>
        <w:spacing w:after="0" w:line="240" w:lineRule="auto"/>
        <w:rPr>
          <w:rFonts w:ascii="Tempus Sans ITC" w:hAnsi="Tempus Sans ITC" w:cs="Calibri-Italic"/>
          <w:i/>
          <w:iCs/>
          <w:color w:val="0F0F0F"/>
        </w:rPr>
      </w:pPr>
      <w:r w:rsidRPr="001452FC">
        <w:rPr>
          <w:rFonts w:ascii="Tempus Sans ITC" w:hAnsi="Tempus Sans ITC" w:cs="Calibri-Italic"/>
          <w:i/>
          <w:iCs/>
          <w:color w:val="0F0F0F"/>
        </w:rPr>
        <w:t>NOTA BENE</w:t>
      </w:r>
      <w:r>
        <w:rPr>
          <w:rFonts w:ascii="Tempus Sans ITC" w:hAnsi="Tempus Sans ITC" w:cs="Calibri-Italic"/>
          <w:i/>
          <w:iCs/>
          <w:color w:val="0F0F0F"/>
        </w:rPr>
        <w:t>:</w:t>
      </w:r>
      <w:r w:rsidRPr="001452FC">
        <w:rPr>
          <w:rFonts w:ascii="Tempus Sans ITC" w:hAnsi="Tempus Sans ITC" w:cs="Calibri-Italic"/>
          <w:i/>
          <w:iCs/>
          <w:color w:val="0F0F0F"/>
        </w:rPr>
        <w:t>I rinvii a precedenti contratti devono essere chiaramente ed espressamente indicati, con riproduzione testuale della relativa disciplina, evitando la mera citazione degli estremi degli stessi. È fatto divieto di rinvio, anche tacito, a norme non compatibili con l’ordinamento normativo vigente.</w:t>
      </w:r>
    </w:p>
    <w:p w:rsidR="00A613BB" w:rsidRDefault="00A613BB" w:rsidP="00A613BB">
      <w:pPr>
        <w:autoSpaceDE w:val="0"/>
        <w:autoSpaceDN w:val="0"/>
        <w:adjustRightInd w:val="0"/>
        <w:spacing w:after="0" w:line="240" w:lineRule="auto"/>
        <w:rPr>
          <w:rFonts w:ascii="Calibri-Italic" w:hAnsi="Calibri-Italic" w:cs="Calibri-Italic"/>
          <w:i/>
          <w:iCs/>
          <w:color w:val="0F0F0F"/>
        </w:rPr>
      </w:pPr>
    </w:p>
    <w:p w:rsidR="00A613BB" w:rsidRPr="00E56CDA" w:rsidRDefault="00A613BB" w:rsidP="00527B40">
      <w:pPr>
        <w:pStyle w:val="Testo"/>
        <w:spacing w:line="240" w:lineRule="auto"/>
        <w:ind w:firstLine="0"/>
      </w:pPr>
      <w:r w:rsidRPr="00527B40">
        <w:t>Rispetto al Contratto Collettivo Decentrato Integrativo approvato nel 201</w:t>
      </w:r>
      <w:r w:rsidR="00527B40" w:rsidRPr="00527B40">
        <w:t>2</w:t>
      </w:r>
      <w:r w:rsidRPr="00527B40">
        <w:t xml:space="preserve">, </w:t>
      </w:r>
      <w:r w:rsidR="00527B40" w:rsidRPr="00527B40">
        <w:t>non  è stato necessario eliminato nessun comma e nessun articolo</w:t>
      </w:r>
      <w:r w:rsidR="00527B40">
        <w:t xml:space="preserve"> risultane in contrasto con la normativa. </w:t>
      </w:r>
      <w:r w:rsidR="00527B40" w:rsidRPr="00527B40">
        <w:t xml:space="preserve"> </w:t>
      </w:r>
    </w:p>
    <w:p w:rsidR="00A613BB" w:rsidRDefault="00A613BB" w:rsidP="00A613BB">
      <w:pPr>
        <w:autoSpaceDE w:val="0"/>
        <w:autoSpaceDN w:val="0"/>
        <w:adjustRightInd w:val="0"/>
        <w:spacing w:after="0" w:line="240" w:lineRule="auto"/>
        <w:rPr>
          <w:rFonts w:ascii="Tempus Sans ITC" w:hAnsi="Tempus Sans ITC" w:cs="Calibri"/>
          <w:color w:val="000000"/>
        </w:rPr>
      </w:pPr>
    </w:p>
    <w:p w:rsidR="00A613BB" w:rsidRPr="001452FC" w:rsidRDefault="00A613BB" w:rsidP="00A613BB">
      <w:pPr>
        <w:autoSpaceDE w:val="0"/>
        <w:autoSpaceDN w:val="0"/>
        <w:adjustRightInd w:val="0"/>
        <w:spacing w:after="0" w:line="240" w:lineRule="auto"/>
        <w:rPr>
          <w:rFonts w:ascii="Tempus Sans ITC" w:hAnsi="Tempus Sans ITC" w:cs="Calibri"/>
          <w:color w:val="000000"/>
        </w:rPr>
      </w:pPr>
      <w:r w:rsidRPr="001452FC">
        <w:rPr>
          <w:rFonts w:ascii="Tempus Sans ITC" w:hAnsi="Tempus Sans ITC" w:cs="Calibri"/>
          <w:color w:val="000000"/>
        </w:rPr>
        <w:t>D) illustrazione e specifica attestazione della coerenza con le previsioni in materia di meritocrazia e premialità (coerenza con il Titolo III del Decreto Legislativo n. 150/2009, le norme di contratto nazionale e la giurisprudenza contabile) ai fini della corresponsione degli incentivi per la performance individuale ed organizzativa;</w:t>
      </w:r>
    </w:p>
    <w:p w:rsidR="00A613BB" w:rsidRDefault="00A613BB" w:rsidP="00A613BB">
      <w:pPr>
        <w:autoSpaceDE w:val="0"/>
        <w:autoSpaceDN w:val="0"/>
        <w:adjustRightInd w:val="0"/>
        <w:spacing w:after="0" w:line="240" w:lineRule="auto"/>
        <w:ind w:left="426"/>
        <w:rPr>
          <w:rFonts w:ascii="Calibri" w:hAnsi="Calibri" w:cs="Calibri"/>
          <w:color w:val="000000"/>
        </w:rPr>
      </w:pPr>
    </w:p>
    <w:p w:rsidR="00A613BB" w:rsidRDefault="00A613BB" w:rsidP="006D1099">
      <w:pPr>
        <w:autoSpaceDE w:val="0"/>
        <w:autoSpaceDN w:val="0"/>
        <w:adjustRightInd w:val="0"/>
        <w:spacing w:after="0" w:line="240" w:lineRule="auto"/>
        <w:jc w:val="both"/>
      </w:pPr>
      <w:r w:rsidRPr="00CB5DD2">
        <w:rPr>
          <w:rFonts w:ascii="Calibri" w:hAnsi="Calibri" w:cs="Calibri"/>
          <w:color w:val="000000"/>
        </w:rPr>
        <w:t xml:space="preserve">Non obbligati al rispetto dei limiti previsti dal D. Lgs. 150 /2009  essendo un Ente con meno di 15 </w:t>
      </w:r>
      <w:r w:rsidR="006D1099">
        <w:rPr>
          <w:rFonts w:ascii="Calibri" w:hAnsi="Calibri" w:cs="Calibri"/>
          <w:color w:val="000000"/>
        </w:rPr>
        <w:t>d</w:t>
      </w:r>
      <w:r w:rsidRPr="00CB5DD2">
        <w:rPr>
          <w:rFonts w:ascii="Calibri" w:hAnsi="Calibri" w:cs="Calibri"/>
          <w:color w:val="000000"/>
        </w:rPr>
        <w:t>ipendenti con contratto di lavoro subordinato</w:t>
      </w:r>
      <w:r>
        <w:rPr>
          <w:rFonts w:ascii="Calibri" w:hAnsi="Calibri" w:cs="Calibri"/>
          <w:color w:val="000000"/>
        </w:rPr>
        <w:t xml:space="preserve"> si è </w:t>
      </w:r>
      <w:r w:rsidRPr="00D450EE">
        <w:rPr>
          <w:rFonts w:ascii="Calibri" w:hAnsi="Calibri" w:cs="Calibri"/>
          <w:color w:val="000000"/>
        </w:rPr>
        <w:t>garantito  anche nel 201</w:t>
      </w:r>
      <w:r w:rsidR="006D1099" w:rsidRPr="00D450EE">
        <w:rPr>
          <w:rFonts w:ascii="Calibri" w:hAnsi="Calibri" w:cs="Calibri"/>
          <w:color w:val="000000"/>
        </w:rPr>
        <w:t>4</w:t>
      </w:r>
      <w:r w:rsidRPr="00D450EE">
        <w:rPr>
          <w:rFonts w:ascii="Calibri" w:hAnsi="Calibri" w:cs="Calibri"/>
          <w:color w:val="000000"/>
        </w:rPr>
        <w:t xml:space="preserve"> come nel 201</w:t>
      </w:r>
      <w:r w:rsidR="006D1099" w:rsidRPr="00D450EE">
        <w:rPr>
          <w:rFonts w:ascii="Calibri" w:hAnsi="Calibri" w:cs="Calibri"/>
          <w:color w:val="000000"/>
        </w:rPr>
        <w:t>3</w:t>
      </w:r>
      <w:r>
        <w:rPr>
          <w:rFonts w:ascii="Calibri" w:hAnsi="Calibri" w:cs="Calibri"/>
          <w:color w:val="000000"/>
        </w:rPr>
        <w:t xml:space="preserve"> </w:t>
      </w:r>
      <w:r w:rsidRPr="00CB5DD2">
        <w:rPr>
          <w:rFonts w:ascii="Calibri" w:hAnsi="Calibri" w:cs="Calibri"/>
          <w:color w:val="000000"/>
        </w:rPr>
        <w:t xml:space="preserve"> una differenziazione nella valutazione, come si evincerà  dalle schede di valutazione relative a ciascun dipendente in modo da</w:t>
      </w:r>
      <w:r w:rsidR="0031286F">
        <w:rPr>
          <w:rFonts w:ascii="Calibri" w:hAnsi="Calibri" w:cs="Calibri"/>
          <w:color w:val="000000"/>
        </w:rPr>
        <w:t xml:space="preserve"> g</w:t>
      </w:r>
      <w:r w:rsidRPr="00CB5DD2">
        <w:rPr>
          <w:rFonts w:ascii="Calibri" w:hAnsi="Calibri" w:cs="Calibri"/>
          <w:color w:val="000000"/>
        </w:rPr>
        <w:t>arantire la meri</w:t>
      </w:r>
      <w:r>
        <w:rPr>
          <w:rFonts w:ascii="Calibri" w:hAnsi="Calibri" w:cs="Calibri"/>
          <w:color w:val="000000"/>
        </w:rPr>
        <w:t>tocrazia</w:t>
      </w:r>
      <w:r w:rsidRPr="00CB5DD2">
        <w:rPr>
          <w:rFonts w:ascii="Calibri" w:hAnsi="Calibri" w:cs="Calibri"/>
          <w:color w:val="000000"/>
        </w:rPr>
        <w:t xml:space="preserve"> e la premialità nella corresponsione degli incentivi</w:t>
      </w:r>
      <w:r w:rsidR="00D450EE">
        <w:rPr>
          <w:rFonts w:ascii="Calibri" w:hAnsi="Calibri" w:cs="Calibri"/>
          <w:color w:val="000000"/>
        </w:rPr>
        <w:t>.</w:t>
      </w:r>
    </w:p>
    <w:p w:rsidR="005D1A5F" w:rsidRDefault="005D1A5F" w:rsidP="00527B40">
      <w:pPr>
        <w:autoSpaceDE w:val="0"/>
        <w:autoSpaceDN w:val="0"/>
        <w:adjustRightInd w:val="0"/>
        <w:spacing w:after="0" w:line="240" w:lineRule="auto"/>
        <w:rPr>
          <w:rFonts w:ascii="Calibri" w:hAnsi="Calibri" w:cs="Calibri"/>
          <w:color w:val="000000"/>
        </w:rPr>
      </w:pPr>
    </w:p>
    <w:p w:rsidR="00A613BB" w:rsidRPr="001452FC" w:rsidRDefault="00A613BB" w:rsidP="00A613BB">
      <w:pPr>
        <w:autoSpaceDE w:val="0"/>
        <w:autoSpaceDN w:val="0"/>
        <w:adjustRightInd w:val="0"/>
        <w:spacing w:after="0" w:line="240" w:lineRule="auto"/>
        <w:rPr>
          <w:rFonts w:ascii="Tempus Sans ITC" w:hAnsi="Tempus Sans ITC" w:cs="Calibri"/>
          <w:color w:val="000000"/>
        </w:rPr>
      </w:pPr>
      <w:r w:rsidRPr="001452FC">
        <w:rPr>
          <w:rFonts w:ascii="Tempus Sans ITC" w:hAnsi="Tempus Sans ITC" w:cs="Calibri"/>
          <w:color w:val="000000"/>
        </w:rPr>
        <w:t xml:space="preserve">E) illustrazione e specifica </w:t>
      </w:r>
      <w:r w:rsidRPr="001452FC">
        <w:rPr>
          <w:rFonts w:ascii="Tempus Sans ITC" w:hAnsi="Tempus Sans ITC" w:cs="Calibri-Bold"/>
          <w:b/>
          <w:bCs/>
          <w:color w:val="000000"/>
        </w:rPr>
        <w:t xml:space="preserve">attestazione </w:t>
      </w:r>
      <w:r w:rsidRPr="001452FC">
        <w:rPr>
          <w:rFonts w:ascii="Tempus Sans ITC" w:hAnsi="Tempus Sans ITC" w:cs="Calibri"/>
          <w:color w:val="000000"/>
        </w:rPr>
        <w:t xml:space="preserve">della coerenza con il principio di </w:t>
      </w:r>
      <w:r w:rsidRPr="001452FC">
        <w:rPr>
          <w:rFonts w:ascii="Tempus Sans ITC" w:hAnsi="Tempus Sans ITC" w:cs="Calibri-Italic"/>
          <w:i/>
          <w:iCs/>
          <w:color w:val="000000"/>
        </w:rPr>
        <w:t xml:space="preserve">selettività delle progressioni economiche </w:t>
      </w:r>
      <w:r w:rsidRPr="001452FC">
        <w:rPr>
          <w:rFonts w:ascii="Tempus Sans ITC" w:hAnsi="Tempus Sans ITC" w:cs="Calibri"/>
          <w:color w:val="000000"/>
        </w:rPr>
        <w:t xml:space="preserve">finanziate con il Fondo per la contrattazione integrativa </w:t>
      </w:r>
      <w:r w:rsidRPr="001452FC">
        <w:rPr>
          <w:rFonts w:ascii="Cambria Math" w:hAnsi="Cambria Math" w:cs="Cambria Math"/>
          <w:color w:val="000000"/>
        </w:rPr>
        <w:t>‐</w:t>
      </w:r>
      <w:r w:rsidRPr="001452FC">
        <w:rPr>
          <w:rFonts w:ascii="Tempus Sans ITC" w:hAnsi="Tempus Sans ITC" w:cs="Calibri"/>
          <w:color w:val="000000"/>
        </w:rPr>
        <w:t xml:space="preserve"> progressioni orizzontali – ai sensi dell’articolo 23 del Decreto Legislativo n. 150/2009 (previsione di valutazioni di merito ed esclusione di elementi automatici come l’anzianità di servizio);</w:t>
      </w:r>
    </w:p>
    <w:p w:rsidR="00A613BB" w:rsidRDefault="0031286F" w:rsidP="006D1099">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w:t>
      </w:r>
      <w:r w:rsidR="00A613BB">
        <w:rPr>
          <w:rFonts w:ascii="Calibri" w:hAnsi="Calibri" w:cs="Calibri"/>
          <w:color w:val="000000"/>
        </w:rPr>
        <w:t xml:space="preserve">o Schema di Contratto collettivo decentrato Integrativo non prevede nuove progressioni economiche in quanto il meccanismo di progressione  è regolato  dal CCDI 2010 ed in ogni caso  sono sospese per il triennio 2011 – 2013 in attuazione dell’art. 9 , commi 1 e 21, del D.L. 78/2010. </w:t>
      </w:r>
    </w:p>
    <w:p w:rsidR="00A613BB" w:rsidRDefault="00A613BB" w:rsidP="00A613BB">
      <w:pPr>
        <w:autoSpaceDE w:val="0"/>
        <w:autoSpaceDN w:val="0"/>
        <w:adjustRightInd w:val="0"/>
        <w:spacing w:after="0" w:line="240" w:lineRule="auto"/>
        <w:ind w:left="426"/>
        <w:rPr>
          <w:rFonts w:ascii="Calibri" w:hAnsi="Calibri" w:cs="Calibri"/>
          <w:color w:val="000000"/>
        </w:rPr>
      </w:pPr>
    </w:p>
    <w:p w:rsidR="00A613BB" w:rsidRPr="001452FC" w:rsidRDefault="00A613BB" w:rsidP="00A613BB">
      <w:pPr>
        <w:autoSpaceDE w:val="0"/>
        <w:autoSpaceDN w:val="0"/>
        <w:adjustRightInd w:val="0"/>
        <w:spacing w:after="0" w:line="240" w:lineRule="auto"/>
        <w:rPr>
          <w:rFonts w:ascii="Tempus Sans ITC" w:hAnsi="Tempus Sans ITC" w:cs="Calibri"/>
          <w:color w:val="000000"/>
        </w:rPr>
      </w:pPr>
      <w:r w:rsidRPr="001452FC">
        <w:rPr>
          <w:rFonts w:ascii="Tempus Sans ITC" w:hAnsi="Tempus Sans ITC" w:cs="Calibri"/>
          <w:color w:val="000000"/>
        </w:rPr>
        <w:t>F) illustrazione dei risultati attesi dalla sottoscrizione del contratto integrativo, in correlazione con gli strumenti di programmazione gestionale (Piano della Performance), adottati dall’Amministrazione in coerenza con le previsioni del Titolo II del Decreto Legislativo n. 150/2009.</w:t>
      </w:r>
    </w:p>
    <w:p w:rsidR="00A613BB" w:rsidRDefault="00A613BB" w:rsidP="00A613BB">
      <w:pPr>
        <w:pStyle w:val="Testo"/>
        <w:spacing w:line="240" w:lineRule="auto"/>
        <w:ind w:firstLine="0"/>
      </w:pPr>
      <w:r>
        <w:t>L’ipotesi di contratto predisposto, in relazione alle materie demandate dal C.C.N.L. alla contrattazione decentrata integrativa, ha come obiettivo prioritario sia la valorizzazione del personale, fondata sul miglioramento delle competenze professionali, sia sul contributo individuale apportato da ciascuno al fine di supportare i processi di innovazione, efficienza, efficacia e miglioramento dei servizi erogati dall’Ente.</w:t>
      </w:r>
    </w:p>
    <w:p w:rsidR="00A613BB" w:rsidRDefault="00A613BB" w:rsidP="00A613BB">
      <w:pPr>
        <w:pStyle w:val="Testo"/>
        <w:spacing w:line="240" w:lineRule="auto"/>
        <w:ind w:firstLine="0"/>
      </w:pPr>
      <w:r>
        <w:t>La valorizzazione delle risorse umane si basa sui seguenti principi:</w:t>
      </w:r>
    </w:p>
    <w:p w:rsidR="00A613BB" w:rsidRDefault="00A613BB" w:rsidP="00A613BB">
      <w:pPr>
        <w:pStyle w:val="Paragrafoelenco"/>
        <w:widowControl w:val="0"/>
        <w:numPr>
          <w:ilvl w:val="0"/>
          <w:numId w:val="5"/>
        </w:numPr>
        <w:spacing w:before="60" w:after="0" w:line="240" w:lineRule="auto"/>
        <w:ind w:left="567" w:hanging="283"/>
        <w:jc w:val="both"/>
      </w:pPr>
      <w:r w:rsidRPr="00074B78">
        <w:t xml:space="preserve">coinvolgimento </w:t>
      </w:r>
      <w:r w:rsidR="005D1A5F">
        <w:t xml:space="preserve">di </w:t>
      </w:r>
      <w:r w:rsidRPr="00074B78">
        <w:t xml:space="preserve"> tutti i lavoratori nei processi di miglioramento dell’ente</w:t>
      </w:r>
      <w:r w:rsidR="005D1A5F">
        <w:t>, seppur garantendo un certo grado di differenziazione viste le urgenze dell’Ente</w:t>
      </w:r>
      <w:r w:rsidRPr="00074B78">
        <w:t>;</w:t>
      </w:r>
    </w:p>
    <w:p w:rsidR="00A613BB" w:rsidRPr="00074B78" w:rsidRDefault="00A613BB" w:rsidP="00A613BB">
      <w:pPr>
        <w:pStyle w:val="Paragrafoelenco"/>
        <w:widowControl w:val="0"/>
        <w:numPr>
          <w:ilvl w:val="0"/>
          <w:numId w:val="5"/>
        </w:numPr>
        <w:spacing w:before="60" w:after="0" w:line="240" w:lineRule="auto"/>
        <w:ind w:left="567" w:hanging="283"/>
        <w:jc w:val="both"/>
      </w:pPr>
      <w:r w:rsidRPr="00074B78">
        <w:t xml:space="preserve">riconoscimento delle competenze professionali dei dipendenti quale valore irrinunciabile con la consapevolezza che la qualità delle prestazioni </w:t>
      </w:r>
      <w:r>
        <w:t>erogate</w:t>
      </w:r>
      <w:r w:rsidRPr="00074B78">
        <w:t xml:space="preserve"> dall’Amministrazione è in larga misura determinata dalla qualità delle prestazioni dei dipendenti;</w:t>
      </w:r>
    </w:p>
    <w:p w:rsidR="00A613BB" w:rsidRPr="00074B78" w:rsidRDefault="00A613BB" w:rsidP="00A613BB">
      <w:pPr>
        <w:pStyle w:val="Paragrafoelenco"/>
        <w:widowControl w:val="0"/>
        <w:numPr>
          <w:ilvl w:val="0"/>
          <w:numId w:val="5"/>
        </w:numPr>
        <w:spacing w:before="60" w:after="0" w:line="240" w:lineRule="auto"/>
        <w:ind w:left="567" w:hanging="283"/>
        <w:jc w:val="both"/>
      </w:pPr>
      <w:r w:rsidRPr="00074B78">
        <w:t>collegamento tra contributi individuali, o di gruppo, e sistema degli incentivi</w:t>
      </w:r>
      <w:r>
        <w:t>;</w:t>
      </w:r>
    </w:p>
    <w:p w:rsidR="00A613BB" w:rsidRDefault="00A613BB" w:rsidP="00A613BB">
      <w:pPr>
        <w:pStyle w:val="Paragrafoelenco"/>
        <w:widowControl w:val="0"/>
        <w:numPr>
          <w:ilvl w:val="0"/>
          <w:numId w:val="5"/>
        </w:numPr>
        <w:spacing w:before="60" w:after="0" w:line="240" w:lineRule="auto"/>
        <w:ind w:left="567" w:hanging="283"/>
        <w:jc w:val="both"/>
      </w:pPr>
      <w:r>
        <w:lastRenderedPageBreak/>
        <w:t>d</w:t>
      </w:r>
      <w:r w:rsidRPr="00074B78">
        <w:t>ifferenziazione nella valutazione con una più dettagliata graduazione della valutazione</w:t>
      </w:r>
      <w:r>
        <w:t>.</w:t>
      </w:r>
    </w:p>
    <w:p w:rsidR="00A613BB" w:rsidRDefault="00A613BB" w:rsidP="00A613BB">
      <w:pPr>
        <w:autoSpaceDE w:val="0"/>
        <w:autoSpaceDN w:val="0"/>
        <w:adjustRightInd w:val="0"/>
        <w:spacing w:after="0" w:line="240" w:lineRule="auto"/>
        <w:rPr>
          <w:rFonts w:ascii="Tempus Sans ITC" w:hAnsi="Tempus Sans ITC" w:cs="Calibri"/>
          <w:color w:val="000000"/>
        </w:rPr>
      </w:pPr>
    </w:p>
    <w:p w:rsidR="00A613BB" w:rsidRDefault="00A613BB" w:rsidP="00A613BB">
      <w:pPr>
        <w:autoSpaceDE w:val="0"/>
        <w:autoSpaceDN w:val="0"/>
        <w:adjustRightInd w:val="0"/>
        <w:spacing w:after="0" w:line="240" w:lineRule="auto"/>
        <w:rPr>
          <w:rFonts w:ascii="Tempus Sans ITC" w:hAnsi="Tempus Sans ITC" w:cs="Calibri"/>
          <w:color w:val="000000"/>
        </w:rPr>
      </w:pPr>
      <w:r w:rsidRPr="00241436">
        <w:rPr>
          <w:rFonts w:ascii="Tempus Sans ITC" w:hAnsi="Tempus Sans ITC" w:cs="Calibri"/>
          <w:color w:val="000000"/>
        </w:rPr>
        <w:t>g) altre informazioni eventualmente ritenute utili per la migliore comprensione degli istituti regolati dal contratto.</w:t>
      </w:r>
    </w:p>
    <w:p w:rsidR="00A613BB" w:rsidRPr="001452FC" w:rsidRDefault="00A613BB" w:rsidP="00A613BB">
      <w:pPr>
        <w:autoSpaceDE w:val="0"/>
        <w:autoSpaceDN w:val="0"/>
        <w:adjustRightInd w:val="0"/>
        <w:spacing w:after="0" w:line="240" w:lineRule="auto"/>
        <w:rPr>
          <w:rFonts w:ascii="Tempus Sans ITC" w:hAnsi="Tempus Sans ITC" w:cs="Calibri"/>
          <w:color w:val="000000"/>
        </w:rPr>
      </w:pPr>
    </w:p>
    <w:p w:rsidR="00C60407" w:rsidRDefault="00A613BB" w:rsidP="00A613BB">
      <w:r>
        <w:rPr>
          <w:rFonts w:ascii="Calibri" w:hAnsi="Calibri" w:cs="Calibri"/>
          <w:color w:val="000000"/>
        </w:rPr>
        <w:t>Il fondo delle risorse decentrate</w:t>
      </w:r>
      <w:r w:rsidR="00D91218">
        <w:rPr>
          <w:rFonts w:ascii="Calibri" w:hAnsi="Calibri" w:cs="Calibri"/>
          <w:color w:val="000000"/>
        </w:rPr>
        <w:t>,</w:t>
      </w:r>
      <w:r>
        <w:rPr>
          <w:rFonts w:ascii="Calibri" w:hAnsi="Calibri" w:cs="Calibri"/>
          <w:color w:val="000000"/>
        </w:rPr>
        <w:t xml:space="preserve"> costituito con Determina n</w:t>
      </w:r>
      <w:r w:rsidR="00D91218">
        <w:rPr>
          <w:rFonts w:ascii="Calibri" w:hAnsi="Calibri" w:cs="Calibri"/>
          <w:color w:val="000000"/>
        </w:rPr>
        <w:t xml:space="preserve">. 76 </w:t>
      </w:r>
      <w:r w:rsidR="005D1A5F">
        <w:rPr>
          <w:rFonts w:ascii="Calibri" w:hAnsi="Calibri" w:cs="Calibri"/>
          <w:color w:val="000000"/>
        </w:rPr>
        <w:t xml:space="preserve"> </w:t>
      </w:r>
      <w:r>
        <w:rPr>
          <w:rFonts w:ascii="Calibri" w:hAnsi="Calibri" w:cs="Calibri"/>
          <w:color w:val="000000"/>
        </w:rPr>
        <w:t xml:space="preserve">del </w:t>
      </w:r>
      <w:r w:rsidR="00D91218">
        <w:rPr>
          <w:rFonts w:ascii="Calibri" w:hAnsi="Calibri" w:cs="Calibri"/>
          <w:color w:val="000000"/>
        </w:rPr>
        <w:t>11/06/</w:t>
      </w:r>
      <w:r w:rsidR="005D1A5F">
        <w:rPr>
          <w:rFonts w:ascii="Calibri" w:hAnsi="Calibri" w:cs="Calibri"/>
          <w:color w:val="000000"/>
        </w:rPr>
        <w:t>201</w:t>
      </w:r>
      <w:r w:rsidR="00D91218">
        <w:rPr>
          <w:rFonts w:ascii="Calibri" w:hAnsi="Calibri" w:cs="Calibri"/>
          <w:color w:val="000000"/>
        </w:rPr>
        <w:t xml:space="preserve">4, </w:t>
      </w:r>
      <w:r>
        <w:rPr>
          <w:rFonts w:ascii="Calibri" w:hAnsi="Calibri" w:cs="Calibri"/>
          <w:color w:val="000000"/>
        </w:rPr>
        <w:t xml:space="preserve"> si costituisce di sole risorse  Stabili.  </w:t>
      </w:r>
    </w:p>
    <w:sectPr w:rsidR="00C6040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2F" w:rsidRDefault="00EC492F" w:rsidP="00C60407">
      <w:pPr>
        <w:spacing w:after="0" w:line="240" w:lineRule="auto"/>
      </w:pPr>
      <w:r>
        <w:separator/>
      </w:r>
    </w:p>
  </w:endnote>
  <w:endnote w:type="continuationSeparator" w:id="0">
    <w:p w:rsidR="00EC492F" w:rsidRDefault="00EC492F" w:rsidP="00C6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D0" w:rsidRDefault="009C4AD0" w:rsidP="009C4AD0">
    <w:pPr>
      <w:pStyle w:val="Pidipagina"/>
      <w:pBdr>
        <w:top w:val="single" w:sz="4" w:space="1" w:color="auto"/>
      </w:pBdr>
      <w:jc w:val="both"/>
    </w:pPr>
  </w:p>
  <w:p w:rsidR="00C60407" w:rsidRDefault="00C60407" w:rsidP="009C4AD0">
    <w:pPr>
      <w:pStyle w:val="Pidipagina"/>
      <w:pBdr>
        <w:top w:val="single" w:sz="4" w:space="1" w:color="auto"/>
      </w:pBdr>
      <w:jc w:val="both"/>
    </w:pPr>
    <w:r>
      <w:t xml:space="preserve">                       </w:t>
    </w:r>
    <w:r w:rsidR="00A904C5">
      <w:tab/>
    </w:r>
    <w:r w:rsidR="00A904C5">
      <w:tab/>
    </w:r>
    <w:r>
      <w:t xml:space="preserve"> Firma del Presidente del C. dei Revisori …………………………………</w:t>
    </w:r>
  </w:p>
  <w:p w:rsidR="00C60407" w:rsidRDefault="00C604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2F" w:rsidRDefault="00EC492F" w:rsidP="00C60407">
      <w:pPr>
        <w:spacing w:after="0" w:line="240" w:lineRule="auto"/>
      </w:pPr>
      <w:r>
        <w:separator/>
      </w:r>
    </w:p>
  </w:footnote>
  <w:footnote w:type="continuationSeparator" w:id="0">
    <w:p w:rsidR="00EC492F" w:rsidRDefault="00EC492F" w:rsidP="00C60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7A" w:rsidRDefault="00EC492F" w:rsidP="00272B7A">
    <w:pPr>
      <w:pStyle w:val="Intestazione"/>
      <w:jc w:val="center"/>
      <w:rPr>
        <w:b/>
        <w:sz w:val="20"/>
        <w:szCs w:val="20"/>
      </w:rPr>
    </w:pPr>
    <w:sdt>
      <w:sdtPr>
        <w:rPr>
          <w:b/>
          <w:sz w:val="20"/>
          <w:szCs w:val="20"/>
        </w:rPr>
        <w:id w:val="1651861679"/>
        <w:docPartObj>
          <w:docPartGallery w:val="Page Numbers (Margins)"/>
          <w:docPartUnique/>
        </w:docPartObj>
      </w:sdtPr>
      <w:sdtEndPr/>
      <w:sdtContent>
        <w:r w:rsidR="00EE4B69" w:rsidRPr="00EE4B69">
          <w:rPr>
            <w:b/>
            <w:noProof/>
            <w:sz w:val="20"/>
            <w:szCs w:val="20"/>
            <w:lang w:eastAsia="it-IT"/>
          </w:rPr>
          <mc:AlternateContent>
            <mc:Choice Requires="wps">
              <w:drawing>
                <wp:anchor distT="0" distB="0" distL="114300" distR="114300" simplePos="0" relativeHeight="251659264" behindDoc="0" locked="0" layoutInCell="0" allowOverlap="1" wp14:anchorId="319FDDE7" wp14:editId="5D10BA76">
                  <wp:simplePos x="0" y="0"/>
                  <wp:positionH relativeFrom="rightMargin">
                    <wp:align>center</wp:align>
                  </wp:positionH>
                  <wp:positionV relativeFrom="margin">
                    <wp:align>top</wp:align>
                  </wp:positionV>
                  <wp:extent cx="581025" cy="409575"/>
                  <wp:effectExtent l="0" t="0" r="0" b="0"/>
                  <wp:wrapNone/>
                  <wp:docPr id="543" name="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rsidR="00EE4B69" w:rsidRDefault="00EE4B69">
                              <w:pPr>
                                <w:pStyle w:val="Pidipagina"/>
                                <w:jc w:val="center"/>
                                <w:rPr>
                                  <w:color w:val="FFFFFF" w:themeColor="background1"/>
                                </w:rPr>
                              </w:pPr>
                              <w:r>
                                <w:fldChar w:fldCharType="begin"/>
                              </w:r>
                              <w:r>
                                <w:instrText>PAGE   \* MERGEFORMAT</w:instrText>
                              </w:r>
                              <w:r>
                                <w:fldChar w:fldCharType="separate"/>
                              </w:r>
                              <w:r w:rsidR="004B6541" w:rsidRPr="004B6541">
                                <w:rPr>
                                  <w:noProof/>
                                  <w:color w:val="FFFFFF" w:themeColor="background1"/>
                                </w:rPr>
                                <w:t>1</w:t>
                              </w:r>
                              <w:r>
                                <w:rPr>
                                  <w:color w:val="FFFFFF" w:themeColor="background1"/>
                                </w:rPr>
                                <w:fldChar w:fldCharType="end"/>
                              </w:r>
                            </w:p>
                            <w:p w:rsidR="00EE4B69" w:rsidRDefault="00EE4B69"/>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orma 3"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vznQIAAEo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" o:allowincell="f" adj="13609,5370" fillcolor="#c0504d" stroked="f" strokecolor="#5c83b4">
                  <v:textbox inset=",0,,0">
                    <w:txbxContent>
                      <w:p w:rsidR="00EE4B69" w:rsidRDefault="00EE4B69">
                        <w:pPr>
                          <w:pStyle w:val="Pidipagina"/>
                          <w:jc w:val="center"/>
                          <w:rPr>
                            <w:color w:val="FFFFFF" w:themeColor="background1"/>
                          </w:rPr>
                        </w:pPr>
                        <w:r>
                          <w:fldChar w:fldCharType="begin"/>
                        </w:r>
                        <w:r>
                          <w:instrText>PAGE   \* MERGEFORMAT</w:instrText>
                        </w:r>
                        <w:r>
                          <w:fldChar w:fldCharType="separate"/>
                        </w:r>
                        <w:r w:rsidR="004B6541" w:rsidRPr="004B6541">
                          <w:rPr>
                            <w:noProof/>
                            <w:color w:val="FFFFFF" w:themeColor="background1"/>
                          </w:rPr>
                          <w:t>1</w:t>
                        </w:r>
                        <w:r>
                          <w:rPr>
                            <w:color w:val="FFFFFF" w:themeColor="background1"/>
                          </w:rPr>
                          <w:fldChar w:fldCharType="end"/>
                        </w:r>
                      </w:p>
                      <w:p w:rsidR="00EE4B69" w:rsidRDefault="00EE4B69"/>
                    </w:txbxContent>
                  </v:textbox>
                  <w10:wrap anchorx="margin" anchory="margin"/>
                </v:shape>
              </w:pict>
            </mc:Fallback>
          </mc:AlternateContent>
        </w:r>
      </w:sdtContent>
    </w:sdt>
    <w:r w:rsidR="00272B7A" w:rsidRPr="00272B7A">
      <w:rPr>
        <w:b/>
        <w:sz w:val="20"/>
        <w:szCs w:val="20"/>
      </w:rPr>
      <w:t xml:space="preserve"> </w:t>
    </w:r>
    <w:r w:rsidR="00272B7A">
      <w:rPr>
        <w:b/>
        <w:sz w:val="20"/>
        <w:szCs w:val="20"/>
      </w:rPr>
      <w:t xml:space="preserve">Gestione Commissariale Straordinaria per la Regolazione del Servizio Idrico Integrato della Sardegna </w:t>
    </w:r>
  </w:p>
  <w:p w:rsidR="00A50985" w:rsidRDefault="00A50985" w:rsidP="00A50985">
    <w:pPr>
      <w:pStyle w:val="Intestazione"/>
      <w:jc w:val="center"/>
      <w:rPr>
        <w:b/>
        <w:sz w:val="20"/>
        <w:szCs w:val="20"/>
      </w:rPr>
    </w:pPr>
    <w:r>
      <w:rPr>
        <w:b/>
        <w:sz w:val="20"/>
        <w:szCs w:val="20"/>
      </w:rPr>
      <w:t xml:space="preserve"> Relazione Illustrativa </w:t>
    </w:r>
  </w:p>
  <w:p w:rsidR="00A50985" w:rsidRDefault="00A5098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02C"/>
    <w:multiLevelType w:val="multilevel"/>
    <w:tmpl w:val="86E0C39E"/>
    <w:lvl w:ilvl="0">
      <w:start w:val="1"/>
      <w:numFmt w:val="decimal"/>
      <w:lvlRestart w:val="0"/>
      <w:lvlText w:val="%1."/>
      <w:lvlJc w:val="left"/>
      <w:pPr>
        <w:tabs>
          <w:tab w:val="num" w:pos="849"/>
        </w:tabs>
        <w:ind w:left="849" w:hanging="283"/>
      </w:pPr>
      <w:rPr>
        <w:color w:val="auto"/>
      </w:rPr>
    </w:lvl>
    <w:lvl w:ilvl="1">
      <w:start w:val="1"/>
      <w:numFmt w:val="lowerLetter"/>
      <w:lvlText w:val="%2)"/>
      <w:lvlJc w:val="left"/>
      <w:pPr>
        <w:tabs>
          <w:tab w:val="num" w:pos="1286"/>
        </w:tabs>
        <w:ind w:left="1286" w:hanging="360"/>
      </w:pPr>
    </w:lvl>
    <w:lvl w:ilvl="2">
      <w:start w:val="1"/>
      <w:numFmt w:val="lowerRoman"/>
      <w:lvlText w:val="%3)"/>
      <w:lvlJc w:val="left"/>
      <w:pPr>
        <w:tabs>
          <w:tab w:val="num" w:pos="1646"/>
        </w:tabs>
        <w:ind w:left="1646" w:hanging="360"/>
      </w:pPr>
    </w:lvl>
    <w:lvl w:ilvl="3">
      <w:start w:val="1"/>
      <w:numFmt w:val="decimal"/>
      <w:lvlText w:val="(%4)"/>
      <w:lvlJc w:val="left"/>
      <w:pPr>
        <w:tabs>
          <w:tab w:val="num" w:pos="2006"/>
        </w:tabs>
        <w:ind w:left="2006" w:hanging="360"/>
      </w:pPr>
    </w:lvl>
    <w:lvl w:ilvl="4">
      <w:start w:val="1"/>
      <w:numFmt w:val="lowerLetter"/>
      <w:lvlText w:val="(%5)"/>
      <w:lvlJc w:val="left"/>
      <w:pPr>
        <w:tabs>
          <w:tab w:val="num" w:pos="2366"/>
        </w:tabs>
        <w:ind w:left="2366" w:hanging="360"/>
      </w:pPr>
    </w:lvl>
    <w:lvl w:ilvl="5">
      <w:start w:val="1"/>
      <w:numFmt w:val="lowerRoman"/>
      <w:lvlText w:val="(%6)"/>
      <w:lvlJc w:val="left"/>
      <w:pPr>
        <w:tabs>
          <w:tab w:val="num" w:pos="2726"/>
        </w:tabs>
        <w:ind w:left="2726" w:hanging="360"/>
      </w:pPr>
    </w:lvl>
    <w:lvl w:ilvl="6">
      <w:start w:val="1"/>
      <w:numFmt w:val="decimal"/>
      <w:lvlText w:val="%7."/>
      <w:lvlJc w:val="left"/>
      <w:pPr>
        <w:tabs>
          <w:tab w:val="num" w:pos="3086"/>
        </w:tabs>
        <w:ind w:left="3086" w:hanging="360"/>
      </w:pPr>
    </w:lvl>
    <w:lvl w:ilvl="7">
      <w:start w:val="1"/>
      <w:numFmt w:val="lowerLetter"/>
      <w:lvlText w:val="%8."/>
      <w:lvlJc w:val="left"/>
      <w:pPr>
        <w:tabs>
          <w:tab w:val="num" w:pos="3446"/>
        </w:tabs>
        <w:ind w:left="3446" w:hanging="360"/>
      </w:pPr>
    </w:lvl>
    <w:lvl w:ilvl="8">
      <w:start w:val="1"/>
      <w:numFmt w:val="lowerRoman"/>
      <w:lvlText w:val="%9."/>
      <w:lvlJc w:val="left"/>
      <w:pPr>
        <w:tabs>
          <w:tab w:val="num" w:pos="3806"/>
        </w:tabs>
        <w:ind w:left="3806" w:hanging="360"/>
      </w:pPr>
    </w:lvl>
  </w:abstractNum>
  <w:abstractNum w:abstractNumId="1">
    <w:nsid w:val="195B6DFE"/>
    <w:multiLevelType w:val="multilevel"/>
    <w:tmpl w:val="E89401C8"/>
    <w:lvl w:ilvl="0">
      <w:start w:val="1"/>
      <w:numFmt w:val="bullet"/>
      <w:lvlText w:val=""/>
      <w:lvlJc w:val="left"/>
      <w:pPr>
        <w:tabs>
          <w:tab w:val="num" w:pos="849"/>
        </w:tabs>
        <w:ind w:left="849" w:hanging="283"/>
      </w:pPr>
      <w:rPr>
        <w:rFonts w:ascii="Symbol" w:hAnsi="Symbol" w:hint="default"/>
        <w:color w:val="auto"/>
      </w:rPr>
    </w:lvl>
    <w:lvl w:ilvl="1">
      <w:start w:val="1"/>
      <w:numFmt w:val="lowerLetter"/>
      <w:lvlText w:val="%2)"/>
      <w:lvlJc w:val="left"/>
      <w:pPr>
        <w:tabs>
          <w:tab w:val="num" w:pos="1286"/>
        </w:tabs>
        <w:ind w:left="1286" w:hanging="360"/>
      </w:pPr>
    </w:lvl>
    <w:lvl w:ilvl="2">
      <w:start w:val="1"/>
      <w:numFmt w:val="lowerRoman"/>
      <w:lvlText w:val="%3)"/>
      <w:lvlJc w:val="left"/>
      <w:pPr>
        <w:tabs>
          <w:tab w:val="num" w:pos="1646"/>
        </w:tabs>
        <w:ind w:left="1646" w:hanging="360"/>
      </w:pPr>
    </w:lvl>
    <w:lvl w:ilvl="3">
      <w:start w:val="1"/>
      <w:numFmt w:val="decimal"/>
      <w:lvlText w:val="(%4)"/>
      <w:lvlJc w:val="left"/>
      <w:pPr>
        <w:tabs>
          <w:tab w:val="num" w:pos="2006"/>
        </w:tabs>
        <w:ind w:left="2006" w:hanging="360"/>
      </w:pPr>
    </w:lvl>
    <w:lvl w:ilvl="4">
      <w:start w:val="1"/>
      <w:numFmt w:val="lowerLetter"/>
      <w:lvlText w:val="(%5)"/>
      <w:lvlJc w:val="left"/>
      <w:pPr>
        <w:tabs>
          <w:tab w:val="num" w:pos="2366"/>
        </w:tabs>
        <w:ind w:left="2366" w:hanging="360"/>
      </w:pPr>
    </w:lvl>
    <w:lvl w:ilvl="5">
      <w:start w:val="1"/>
      <w:numFmt w:val="lowerRoman"/>
      <w:lvlText w:val="(%6)"/>
      <w:lvlJc w:val="left"/>
      <w:pPr>
        <w:tabs>
          <w:tab w:val="num" w:pos="2726"/>
        </w:tabs>
        <w:ind w:left="2726" w:hanging="360"/>
      </w:pPr>
    </w:lvl>
    <w:lvl w:ilvl="6">
      <w:start w:val="1"/>
      <w:numFmt w:val="decimal"/>
      <w:lvlText w:val="%7."/>
      <w:lvlJc w:val="left"/>
      <w:pPr>
        <w:tabs>
          <w:tab w:val="num" w:pos="3086"/>
        </w:tabs>
        <w:ind w:left="3086" w:hanging="360"/>
      </w:pPr>
    </w:lvl>
    <w:lvl w:ilvl="7">
      <w:start w:val="1"/>
      <w:numFmt w:val="lowerLetter"/>
      <w:lvlText w:val="%8."/>
      <w:lvlJc w:val="left"/>
      <w:pPr>
        <w:tabs>
          <w:tab w:val="num" w:pos="3446"/>
        </w:tabs>
        <w:ind w:left="3446" w:hanging="360"/>
      </w:pPr>
    </w:lvl>
    <w:lvl w:ilvl="8">
      <w:start w:val="1"/>
      <w:numFmt w:val="lowerRoman"/>
      <w:lvlText w:val="%9."/>
      <w:lvlJc w:val="left"/>
      <w:pPr>
        <w:tabs>
          <w:tab w:val="num" w:pos="3806"/>
        </w:tabs>
        <w:ind w:left="3806" w:hanging="360"/>
      </w:pPr>
    </w:lvl>
  </w:abstractNum>
  <w:abstractNum w:abstractNumId="2">
    <w:nsid w:val="35400BCE"/>
    <w:multiLevelType w:val="multilevel"/>
    <w:tmpl w:val="6D885DCA"/>
    <w:lvl w:ilvl="0">
      <w:start w:val="1"/>
      <w:numFmt w:val="decimal"/>
      <w:lvlRestart w:val="0"/>
      <w:lvlText w:val="%1."/>
      <w:lvlJc w:val="left"/>
      <w:pPr>
        <w:tabs>
          <w:tab w:val="num" w:pos="849"/>
        </w:tabs>
        <w:ind w:left="849" w:hanging="283"/>
      </w:pPr>
      <w:rPr>
        <w:color w:val="auto"/>
      </w:rPr>
    </w:lvl>
    <w:lvl w:ilvl="1">
      <w:start w:val="1"/>
      <w:numFmt w:val="lowerLetter"/>
      <w:lvlText w:val="%2)"/>
      <w:lvlJc w:val="left"/>
      <w:pPr>
        <w:tabs>
          <w:tab w:val="num" w:pos="786"/>
        </w:tabs>
        <w:ind w:left="786" w:hanging="360"/>
      </w:pPr>
    </w:lvl>
    <w:lvl w:ilvl="2">
      <w:start w:val="1"/>
      <w:numFmt w:val="lowerRoman"/>
      <w:lvlText w:val="%3)"/>
      <w:lvlJc w:val="left"/>
      <w:pPr>
        <w:tabs>
          <w:tab w:val="num" w:pos="1646"/>
        </w:tabs>
        <w:ind w:left="1646" w:hanging="360"/>
      </w:pPr>
    </w:lvl>
    <w:lvl w:ilvl="3">
      <w:start w:val="1"/>
      <w:numFmt w:val="decimal"/>
      <w:lvlText w:val="(%4)"/>
      <w:lvlJc w:val="left"/>
      <w:pPr>
        <w:tabs>
          <w:tab w:val="num" w:pos="2006"/>
        </w:tabs>
        <w:ind w:left="2006" w:hanging="360"/>
      </w:pPr>
    </w:lvl>
    <w:lvl w:ilvl="4">
      <w:start w:val="1"/>
      <w:numFmt w:val="lowerLetter"/>
      <w:lvlText w:val="(%5)"/>
      <w:lvlJc w:val="left"/>
      <w:pPr>
        <w:tabs>
          <w:tab w:val="num" w:pos="2366"/>
        </w:tabs>
        <w:ind w:left="2366" w:hanging="360"/>
      </w:pPr>
    </w:lvl>
    <w:lvl w:ilvl="5">
      <w:start w:val="1"/>
      <w:numFmt w:val="lowerRoman"/>
      <w:lvlText w:val="(%6)"/>
      <w:lvlJc w:val="left"/>
      <w:pPr>
        <w:tabs>
          <w:tab w:val="num" w:pos="2726"/>
        </w:tabs>
        <w:ind w:left="2726" w:hanging="360"/>
      </w:pPr>
    </w:lvl>
    <w:lvl w:ilvl="6">
      <w:start w:val="1"/>
      <w:numFmt w:val="decimal"/>
      <w:lvlText w:val="%7."/>
      <w:lvlJc w:val="left"/>
      <w:pPr>
        <w:tabs>
          <w:tab w:val="num" w:pos="3086"/>
        </w:tabs>
        <w:ind w:left="3086" w:hanging="360"/>
      </w:pPr>
    </w:lvl>
    <w:lvl w:ilvl="7">
      <w:start w:val="1"/>
      <w:numFmt w:val="lowerLetter"/>
      <w:lvlText w:val="%8."/>
      <w:lvlJc w:val="left"/>
      <w:pPr>
        <w:tabs>
          <w:tab w:val="num" w:pos="3446"/>
        </w:tabs>
        <w:ind w:left="3446" w:hanging="360"/>
      </w:pPr>
    </w:lvl>
    <w:lvl w:ilvl="8">
      <w:start w:val="1"/>
      <w:numFmt w:val="lowerRoman"/>
      <w:lvlText w:val="%9."/>
      <w:lvlJc w:val="left"/>
      <w:pPr>
        <w:tabs>
          <w:tab w:val="num" w:pos="3806"/>
        </w:tabs>
        <w:ind w:left="3806" w:hanging="360"/>
      </w:pPr>
    </w:lvl>
  </w:abstractNum>
  <w:abstractNum w:abstractNumId="3">
    <w:nsid w:val="3BA42FC2"/>
    <w:multiLevelType w:val="multilevel"/>
    <w:tmpl w:val="FAF67034"/>
    <w:lvl w:ilvl="0">
      <w:start w:val="1"/>
      <w:numFmt w:val="decimal"/>
      <w:pStyle w:val="Articolo"/>
      <w:suff w:val="space"/>
      <w:lvlText w:val="Articolo %1."/>
      <w:lvlJc w:val="left"/>
      <w:pPr>
        <w:ind w:left="0" w:firstLine="0"/>
      </w:pPr>
      <w:rPr>
        <w:rFonts w:hint="default"/>
        <w:b/>
        <w:i w:val="0"/>
        <w:caps w:val="0"/>
        <w:strike w:val="0"/>
        <w:dstrike w:val="0"/>
        <w:outline w:val="0"/>
        <w:shadow w:val="0"/>
        <w:emboss w:val="0"/>
        <w:imprint w:val="0"/>
        <w:vanish w:val="0"/>
        <w:spacing w:val="0"/>
        <w:w w:val="100"/>
        <w:position w:val="0"/>
        <w:szCs w:val="24"/>
        <w:effect w:val="none"/>
        <w:vertAlign w:val="baseline"/>
      </w:rPr>
    </w:lvl>
    <w:lvl w:ilvl="1">
      <w:start w:val="1"/>
      <w:numFmt w:val="decimalZero"/>
      <w:isLgl/>
      <w:lvlText w:val="Sezione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4A9A3F0A"/>
    <w:multiLevelType w:val="multilevel"/>
    <w:tmpl w:val="576AF71C"/>
    <w:lvl w:ilvl="0">
      <w:start w:val="1"/>
      <w:numFmt w:val="decimal"/>
      <w:lvlRestart w:val="0"/>
      <w:lvlText w:val="%1."/>
      <w:lvlJc w:val="left"/>
      <w:pPr>
        <w:tabs>
          <w:tab w:val="num" w:pos="283"/>
        </w:tabs>
        <w:ind w:left="283" w:hanging="283"/>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CD4374A"/>
    <w:multiLevelType w:val="hybridMultilevel"/>
    <w:tmpl w:val="983A8CB0"/>
    <w:lvl w:ilvl="0" w:tplc="235CE974">
      <w:numFmt w:val="bullet"/>
      <w:lvlText w:val="-"/>
      <w:lvlJc w:val="left"/>
      <w:pPr>
        <w:ind w:left="720" w:hanging="360"/>
      </w:pPr>
      <w:rPr>
        <w:rFonts w:ascii="Trebuchet MS" w:eastAsiaTheme="minorHAnsi" w:hAnsi="Trebuchet MS" w:cs="Calibri-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DC647A"/>
    <w:multiLevelType w:val="hybridMultilevel"/>
    <w:tmpl w:val="D5C454DC"/>
    <w:lvl w:ilvl="0" w:tplc="04100001">
      <w:start w:val="1"/>
      <w:numFmt w:val="bullet"/>
      <w:lvlText w:val=""/>
      <w:lvlJc w:val="left"/>
      <w:pPr>
        <w:ind w:left="1286" w:hanging="360"/>
      </w:pPr>
      <w:rPr>
        <w:rFonts w:ascii="Symbol" w:hAnsi="Symbol" w:hint="default"/>
      </w:rPr>
    </w:lvl>
    <w:lvl w:ilvl="1" w:tplc="04100003" w:tentative="1">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7">
    <w:nsid w:val="59817B9C"/>
    <w:multiLevelType w:val="hybridMultilevel"/>
    <w:tmpl w:val="B4D871C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E42C46"/>
    <w:multiLevelType w:val="hybridMultilevel"/>
    <w:tmpl w:val="76DC68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8A"/>
    <w:rsid w:val="00037F55"/>
    <w:rsid w:val="000B5697"/>
    <w:rsid w:val="000D02C6"/>
    <w:rsid w:val="001B1D8A"/>
    <w:rsid w:val="001F23DF"/>
    <w:rsid w:val="00241217"/>
    <w:rsid w:val="00243DC3"/>
    <w:rsid w:val="00272B7A"/>
    <w:rsid w:val="0031286F"/>
    <w:rsid w:val="00317E39"/>
    <w:rsid w:val="004136BD"/>
    <w:rsid w:val="004477D0"/>
    <w:rsid w:val="00464559"/>
    <w:rsid w:val="004B6541"/>
    <w:rsid w:val="004C3138"/>
    <w:rsid w:val="004F3463"/>
    <w:rsid w:val="00527B40"/>
    <w:rsid w:val="005438CE"/>
    <w:rsid w:val="00583F83"/>
    <w:rsid w:val="005D1A5F"/>
    <w:rsid w:val="005D49FD"/>
    <w:rsid w:val="005F2D61"/>
    <w:rsid w:val="0065612A"/>
    <w:rsid w:val="006D1099"/>
    <w:rsid w:val="00740136"/>
    <w:rsid w:val="0079734C"/>
    <w:rsid w:val="008036E6"/>
    <w:rsid w:val="00844BBD"/>
    <w:rsid w:val="00866BDE"/>
    <w:rsid w:val="00881FF5"/>
    <w:rsid w:val="008870C9"/>
    <w:rsid w:val="00890EF0"/>
    <w:rsid w:val="009176C0"/>
    <w:rsid w:val="00972C91"/>
    <w:rsid w:val="00986B67"/>
    <w:rsid w:val="009C4AD0"/>
    <w:rsid w:val="00A50985"/>
    <w:rsid w:val="00A613BB"/>
    <w:rsid w:val="00A904C5"/>
    <w:rsid w:val="00AB393B"/>
    <w:rsid w:val="00AC523E"/>
    <w:rsid w:val="00AF0A7C"/>
    <w:rsid w:val="00AF649B"/>
    <w:rsid w:val="00B23724"/>
    <w:rsid w:val="00B85251"/>
    <w:rsid w:val="00C0191E"/>
    <w:rsid w:val="00C10665"/>
    <w:rsid w:val="00C60407"/>
    <w:rsid w:val="00D20485"/>
    <w:rsid w:val="00D450EE"/>
    <w:rsid w:val="00D91218"/>
    <w:rsid w:val="00D91661"/>
    <w:rsid w:val="00DD6B4A"/>
    <w:rsid w:val="00E25C9C"/>
    <w:rsid w:val="00EB4671"/>
    <w:rsid w:val="00EC492F"/>
    <w:rsid w:val="00EE4B69"/>
    <w:rsid w:val="00F01321"/>
    <w:rsid w:val="00F35508"/>
    <w:rsid w:val="00FC4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D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724"/>
    <w:rPr>
      <w:rFonts w:ascii="Tahoma" w:hAnsi="Tahoma" w:cs="Tahoma"/>
      <w:sz w:val="16"/>
      <w:szCs w:val="16"/>
    </w:rPr>
  </w:style>
  <w:style w:type="paragraph" w:styleId="Intestazione">
    <w:name w:val="header"/>
    <w:basedOn w:val="Normale"/>
    <w:link w:val="IntestazioneCarattere"/>
    <w:uiPriority w:val="99"/>
    <w:unhideWhenUsed/>
    <w:rsid w:val="00C604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0407"/>
  </w:style>
  <w:style w:type="paragraph" w:styleId="Pidipagina">
    <w:name w:val="footer"/>
    <w:basedOn w:val="Normale"/>
    <w:link w:val="PidipaginaCarattere"/>
    <w:uiPriority w:val="99"/>
    <w:unhideWhenUsed/>
    <w:rsid w:val="00C604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0407"/>
  </w:style>
  <w:style w:type="paragraph" w:customStyle="1" w:styleId="Testo">
    <w:name w:val="Testo"/>
    <w:basedOn w:val="Normale"/>
    <w:rsid w:val="00A613BB"/>
    <w:pPr>
      <w:widowControl w:val="0"/>
      <w:spacing w:before="60" w:after="0" w:line="360" w:lineRule="auto"/>
      <w:ind w:firstLine="567"/>
      <w:jc w:val="both"/>
    </w:pPr>
    <w:rPr>
      <w:rFonts w:ascii="Trebuchet MS" w:eastAsia="Times New Roman" w:hAnsi="Trebuchet MS" w:cs="Times New Roman"/>
      <w:sz w:val="20"/>
      <w:szCs w:val="20"/>
      <w:lang w:eastAsia="it-IT"/>
    </w:rPr>
  </w:style>
  <w:style w:type="paragraph" w:customStyle="1" w:styleId="Articolo">
    <w:name w:val="Articolo"/>
    <w:basedOn w:val="Normale"/>
    <w:next w:val="Normale"/>
    <w:rsid w:val="00A613BB"/>
    <w:pPr>
      <w:keepNext/>
      <w:widowControl w:val="0"/>
      <w:numPr>
        <w:numId w:val="2"/>
      </w:numPr>
      <w:spacing w:before="120" w:after="0" w:line="360" w:lineRule="auto"/>
      <w:jc w:val="both"/>
    </w:pPr>
    <w:rPr>
      <w:rFonts w:ascii="Trebuchet MS" w:eastAsia="Times New Roman" w:hAnsi="Trebuchet MS" w:cs="Times New Roman"/>
      <w:b/>
      <w:sz w:val="20"/>
      <w:szCs w:val="20"/>
      <w:lang w:eastAsia="it-IT"/>
    </w:rPr>
  </w:style>
  <w:style w:type="paragraph" w:styleId="Paragrafoelenco">
    <w:name w:val="List Paragraph"/>
    <w:basedOn w:val="Normale"/>
    <w:uiPriority w:val="34"/>
    <w:qFormat/>
    <w:rsid w:val="00A613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1D8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3724"/>
    <w:rPr>
      <w:rFonts w:ascii="Tahoma" w:hAnsi="Tahoma" w:cs="Tahoma"/>
      <w:sz w:val="16"/>
      <w:szCs w:val="16"/>
    </w:rPr>
  </w:style>
  <w:style w:type="paragraph" w:styleId="Intestazione">
    <w:name w:val="header"/>
    <w:basedOn w:val="Normale"/>
    <w:link w:val="IntestazioneCarattere"/>
    <w:uiPriority w:val="99"/>
    <w:unhideWhenUsed/>
    <w:rsid w:val="00C604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0407"/>
  </w:style>
  <w:style w:type="paragraph" w:styleId="Pidipagina">
    <w:name w:val="footer"/>
    <w:basedOn w:val="Normale"/>
    <w:link w:val="PidipaginaCarattere"/>
    <w:uiPriority w:val="99"/>
    <w:unhideWhenUsed/>
    <w:rsid w:val="00C604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0407"/>
  </w:style>
  <w:style w:type="paragraph" w:customStyle="1" w:styleId="Testo">
    <w:name w:val="Testo"/>
    <w:basedOn w:val="Normale"/>
    <w:rsid w:val="00A613BB"/>
    <w:pPr>
      <w:widowControl w:val="0"/>
      <w:spacing w:before="60" w:after="0" w:line="360" w:lineRule="auto"/>
      <w:ind w:firstLine="567"/>
      <w:jc w:val="both"/>
    </w:pPr>
    <w:rPr>
      <w:rFonts w:ascii="Trebuchet MS" w:eastAsia="Times New Roman" w:hAnsi="Trebuchet MS" w:cs="Times New Roman"/>
      <w:sz w:val="20"/>
      <w:szCs w:val="20"/>
      <w:lang w:eastAsia="it-IT"/>
    </w:rPr>
  </w:style>
  <w:style w:type="paragraph" w:customStyle="1" w:styleId="Articolo">
    <w:name w:val="Articolo"/>
    <w:basedOn w:val="Normale"/>
    <w:next w:val="Normale"/>
    <w:rsid w:val="00A613BB"/>
    <w:pPr>
      <w:keepNext/>
      <w:widowControl w:val="0"/>
      <w:numPr>
        <w:numId w:val="2"/>
      </w:numPr>
      <w:spacing w:before="120" w:after="0" w:line="360" w:lineRule="auto"/>
      <w:jc w:val="both"/>
    </w:pPr>
    <w:rPr>
      <w:rFonts w:ascii="Trebuchet MS" w:eastAsia="Times New Roman" w:hAnsi="Trebuchet MS" w:cs="Times New Roman"/>
      <w:b/>
      <w:sz w:val="20"/>
      <w:szCs w:val="20"/>
      <w:lang w:eastAsia="it-IT"/>
    </w:rPr>
  </w:style>
  <w:style w:type="paragraph" w:styleId="Paragrafoelenco">
    <w:name w:val="List Paragraph"/>
    <w:basedOn w:val="Normale"/>
    <w:uiPriority w:val="34"/>
    <w:qFormat/>
    <w:rsid w:val="00A6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F196-B45A-4BD8-AE38-1838AB63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11</Pages>
  <Words>3914</Words>
  <Characters>22310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Lutzu</dc:creator>
  <cp:lastModifiedBy>Giuseppe Lutzu</cp:lastModifiedBy>
  <cp:revision>30</cp:revision>
  <cp:lastPrinted>2014-12-30T16:22:00Z</cp:lastPrinted>
  <dcterms:created xsi:type="dcterms:W3CDTF">2012-10-24T10:08:00Z</dcterms:created>
  <dcterms:modified xsi:type="dcterms:W3CDTF">2014-12-30T16:22:00Z</dcterms:modified>
</cp:coreProperties>
</file>